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C6D9F1"/>
        <w:tblCellMar>
          <w:left w:w="0" w:type="dxa"/>
          <w:right w:w="0" w:type="dxa"/>
        </w:tblCellMar>
        <w:tblLook w:val="04A0"/>
      </w:tblPr>
      <w:tblGrid>
        <w:gridCol w:w="8644"/>
      </w:tblGrid>
      <w:tr w:rsidR="001F46EF" w:rsidRPr="001F46EF" w:rsidTr="001F46EF">
        <w:trPr>
          <w:trHeight w:val="537"/>
        </w:trPr>
        <w:tc>
          <w:tcPr>
            <w:tcW w:w="1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6EF" w:rsidRPr="001F46EF" w:rsidRDefault="001F46EF" w:rsidP="001F46EF">
            <w:pPr>
              <w:shd w:val="clear" w:color="auto" w:fill="FFFFFF"/>
              <w:spacing w:after="324" w:line="312" w:lineRule="atLeast"/>
              <w:jc w:val="both"/>
              <w:rPr>
                <w:rFonts w:ascii="Calibri" w:eastAsia="Times New Roman" w:hAnsi="Calibri" w:cs="Times New Roman"/>
                <w:color w:val="444444"/>
                <w:lang w:eastAsia="es-ES"/>
              </w:rPr>
            </w:pPr>
            <w:r w:rsidRPr="001F46EF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es-ES"/>
              </w:rPr>
              <w:t>SUBVENCIONES PARA AYUDAR A LAS PYMES EN PROYECTOS DE INVERSION.</w:t>
            </w:r>
            <w:r w:rsidRPr="001F46EF">
              <w:rPr>
                <w:rFonts w:ascii="Georgia" w:eastAsia="Times New Roman" w:hAnsi="Georgia" w:cs="Times New Roman"/>
                <w:b/>
                <w:bCs/>
                <w:caps/>
                <w:color w:val="993366"/>
                <w:sz w:val="18"/>
                <w:lang w:eastAsia="es-ES"/>
              </w:rPr>
              <w:t> </w:t>
            </w:r>
            <w:r w:rsidRPr="001F46EF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es-ES"/>
              </w:rPr>
              <w:t>PROGRAMA DE INCENTIVOS A LA INVERSIÓN INDUSTRIAL. REINDUS: REINDUSTRIALIZACIÓN. PROGRAMA DE APOYO FINANCIERO A LA INVERSIÓN INDUSTRIAL.</w:t>
            </w:r>
          </w:p>
        </w:tc>
      </w:tr>
    </w:tbl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Calibri" w:eastAsia="Times New Roman" w:hAnsi="Calibri" w:cs="Times New Roman"/>
          <w:color w:val="000000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Georgia" w:eastAsia="Times New Roman" w:hAnsi="Georgia" w:cs="Times New Roman"/>
          <w:caps/>
          <w:color w:val="993366"/>
          <w:sz w:val="18"/>
          <w:szCs w:val="18"/>
          <w:bdr w:val="none" w:sz="0" w:space="0" w:color="auto" w:frame="1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000000"/>
          <w:lang w:eastAsia="es-ES"/>
        </w:rPr>
        <w:t>Estimado empresario: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000000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Ya han sido publicadas las Bases de la Convocatoria del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Programa de Reindustrialización 2015</w:t>
      </w:r>
      <w:r w:rsidRPr="001F46EF">
        <w:rPr>
          <w:rFonts w:ascii="Arial" w:eastAsia="Times New Roman" w:hAnsi="Arial" w:cs="Arial"/>
          <w:color w:val="353535"/>
          <w:lang w:eastAsia="es-ES"/>
        </w:rPr>
        <w:t>, un programa lanzado por el Ministerio de Industria, Energía y Turismo, que pretende un año más impulsar inversiones tanto en nuevas empresas o nuevos establecimientos como en ampliación de áreas de actividad de industrias existentes.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Las ayudas públicas del programa de REINDUSTRIALIZACIÓN (REINDUS) son </w:t>
      </w:r>
      <w:r w:rsidRPr="001F46EF">
        <w:rPr>
          <w:rFonts w:ascii="Arial" w:eastAsia="Times New Roman" w:hAnsi="Arial" w:cs="Arial"/>
          <w:b/>
          <w:bCs/>
          <w:color w:val="353535"/>
          <w:lang w:eastAsia="es-ES"/>
        </w:rPr>
        <w:t>préstamos bonificados a tipo reducido que cubren hasta el 75 % del presupuesto de inversión</w:t>
      </w:r>
      <w:r w:rsidRPr="001F46EF">
        <w:rPr>
          <w:rFonts w:ascii="Arial" w:eastAsia="Times New Roman" w:hAnsi="Arial" w:cs="Arial"/>
          <w:color w:val="353535"/>
          <w:lang w:eastAsia="es-ES"/>
        </w:rPr>
        <w:t>, con interesantes plazos de amortización y carencia que los da directamente el Ministerio con una exigencia de aval de sólo el 10 % de la cantidad solicitada.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Esta línea para el ejercicio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lang w:eastAsia="es-ES"/>
        </w:rPr>
        <w:t>2015 cuenta con un presupuesto de 409,5 millones de euros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, un 18 % superior al presupuesto con que contó la convocatoria del 2014 (346 millones). En el año 2014 el Ministerio solo pudo ejecutar un 48 % del presupuesto por lo que se espera que en la nueva convocatoria a publicar, se pueda acceder de una forma más óptima a estos fondos tan necesarios para las industrias españolas.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353535"/>
          <w:lang w:eastAsia="es-ES"/>
        </w:rPr>
        <w:t>Es por ello que animamos a todas aquellas empresas industriales que tengan un proyecto de nueva empresa, modernización, ampliación o traslado a contactar con nosotros y solicitar cuanto antes estas interesantes ayudas. </w:t>
      </w:r>
      <w:r w:rsidRPr="001F46EF">
        <w:rPr>
          <w:rFonts w:ascii="Arial" w:eastAsia="Times New Roman" w:hAnsi="Arial" w:cs="Arial"/>
          <w:color w:val="353535"/>
          <w:lang w:eastAsia="es-ES"/>
        </w:rPr>
        <w:t>Estas ayudas están contempladas en los Presupuestos Generales del Estado del 2015 y son compatibles con otras líneas de subvención como son los </w:t>
      </w:r>
      <w:hyperlink r:id="rId7" w:tgtFrame="_blank" w:history="1">
        <w:r w:rsidRPr="001F46EF">
          <w:rPr>
            <w:rFonts w:ascii="Arial" w:eastAsia="Times New Roman" w:hAnsi="Arial" w:cs="Arial"/>
            <w:b/>
            <w:bCs/>
            <w:u w:val="single"/>
            <w:lang w:eastAsia="es-ES"/>
          </w:rPr>
          <w:t>INCENTIVOS REGIONALES</w:t>
        </w:r>
      </w:hyperlink>
      <w:r w:rsidRPr="001F46EF">
        <w:rPr>
          <w:rFonts w:ascii="Arial" w:eastAsia="Times New Roman" w:hAnsi="Arial" w:cs="Arial"/>
          <w:b/>
          <w:bCs/>
          <w:color w:val="444444"/>
          <w:lang w:eastAsia="es-ES"/>
        </w:rPr>
        <w:t>.</w:t>
      </w:r>
    </w:p>
    <w:p w:rsidR="001F46EF" w:rsidRPr="001F46EF" w:rsidRDefault="001F46EF" w:rsidP="00167081">
      <w:pPr>
        <w:shd w:val="clear" w:color="auto" w:fill="FFFFFF"/>
        <w:tabs>
          <w:tab w:val="left" w:pos="825"/>
        </w:tabs>
        <w:spacing w:after="324" w:line="270" w:lineRule="atLeast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lang w:eastAsia="es-ES"/>
        </w:rPr>
        <w:lastRenderedPageBreak/>
        <w:t>REINDUS 2015: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Cuenta con un importante presupuesto y este año hay verdadero deseo de ejecutarlo en su totalidad: 409,5</w:t>
      </w:r>
      <w:r w:rsidRPr="001F46EF">
        <w:rPr>
          <w:rFonts w:ascii="Arial" w:eastAsia="Times New Roman" w:hAnsi="Arial" w:cs="Arial"/>
          <w:color w:val="353535"/>
          <w:lang w:eastAsia="es-ES"/>
        </w:rPr>
        <w:t> millones para REINDUS y 348,5 millones para el Programa de Fomento de la Competitividad Industrial.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Las inversiones podrán ejecutarse desde el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01 de enero de 2015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(fecha factura y pagos posteriores), hasta los 18 meses siguientes a la fecha de resolución de la ayuda.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La valoración económico financiera de la empresa y su capacidad de devolución del préstamo supondrá el 70% de la valoración. Además Criterios de evaluación: incorporación de tecnología innovadora, incremento de las exportaciones, creación de empleo.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Se establecen tres tramos de tipo de interés según la clasificación del beneficiario:</w:t>
      </w:r>
    </w:p>
    <w:p w:rsidR="001F46EF" w:rsidRPr="001F46EF" w:rsidRDefault="001F46EF" w:rsidP="001F46EF">
      <w:pPr>
        <w:shd w:val="clear" w:color="auto" w:fill="FFFFFF"/>
        <w:spacing w:after="324" w:line="328" w:lineRule="atLeast"/>
        <w:ind w:hanging="360"/>
        <w:rPr>
          <w:rFonts w:ascii="Calibri" w:eastAsia="Times New Roman" w:hAnsi="Calibri" w:cs="Times New Roman"/>
          <w:color w:val="444444"/>
          <w:lang w:eastAsia="es-ES"/>
        </w:rPr>
      </w:pPr>
      <w:proofErr w:type="gramStart"/>
      <w:r w:rsidRPr="001F46EF">
        <w:rPr>
          <w:rFonts w:ascii="Courier New" w:eastAsia="Times New Roman" w:hAnsi="Courier New" w:cs="Courier New"/>
          <w:color w:val="353535"/>
          <w:lang w:eastAsia="es-ES"/>
        </w:rPr>
        <w:t>o</w:t>
      </w:r>
      <w:proofErr w:type="gramEnd"/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Satisfactoria:</w:t>
      </w:r>
      <w:r w:rsidRPr="001F46EF">
        <w:rPr>
          <w:rFonts w:ascii="Arial" w:eastAsia="Times New Roman" w:hAnsi="Arial" w:cs="Arial"/>
          <w:color w:val="353535"/>
          <w:lang w:eastAsia="es-ES"/>
        </w:rPr>
        <w:t> 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4,34%</w:t>
      </w:r>
    </w:p>
    <w:p w:rsidR="001F46EF" w:rsidRPr="001F46EF" w:rsidRDefault="001F46EF" w:rsidP="001F46EF">
      <w:pPr>
        <w:shd w:val="clear" w:color="auto" w:fill="FFFFFF"/>
        <w:spacing w:after="324" w:line="328" w:lineRule="atLeast"/>
        <w:ind w:hanging="360"/>
        <w:rPr>
          <w:rFonts w:ascii="Calibri" w:eastAsia="Times New Roman" w:hAnsi="Calibri" w:cs="Times New Roman"/>
          <w:color w:val="444444"/>
          <w:lang w:eastAsia="es-ES"/>
        </w:rPr>
      </w:pPr>
      <w:proofErr w:type="gramStart"/>
      <w:r w:rsidRPr="001F46EF">
        <w:rPr>
          <w:rFonts w:ascii="Courier New" w:eastAsia="Times New Roman" w:hAnsi="Courier New" w:cs="Courier New"/>
          <w:color w:val="353535"/>
          <w:lang w:eastAsia="es-ES"/>
        </w:rPr>
        <w:t>o</w:t>
      </w:r>
      <w:proofErr w:type="gramEnd"/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Buena:</w:t>
      </w:r>
      <w:r w:rsidRPr="001F46EF">
        <w:rPr>
          <w:rFonts w:ascii="Arial" w:eastAsia="Times New Roman" w:hAnsi="Arial" w:cs="Arial"/>
          <w:color w:val="353535"/>
          <w:lang w:eastAsia="es-ES"/>
        </w:rPr>
        <w:t>           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2,54%</w:t>
      </w:r>
    </w:p>
    <w:p w:rsidR="001F46EF" w:rsidRPr="001F46EF" w:rsidRDefault="001F46EF" w:rsidP="001F46EF">
      <w:pPr>
        <w:shd w:val="clear" w:color="auto" w:fill="FFFFFF"/>
        <w:spacing w:after="324" w:line="328" w:lineRule="atLeast"/>
        <w:ind w:hanging="360"/>
        <w:rPr>
          <w:rFonts w:ascii="Calibri" w:eastAsia="Times New Roman" w:hAnsi="Calibri" w:cs="Times New Roman"/>
          <w:color w:val="444444"/>
          <w:lang w:eastAsia="es-ES"/>
        </w:rPr>
      </w:pPr>
      <w:proofErr w:type="gramStart"/>
      <w:r w:rsidRPr="001F46EF">
        <w:rPr>
          <w:rFonts w:ascii="Courier New" w:eastAsia="Times New Roman" w:hAnsi="Courier New" w:cs="Courier New"/>
          <w:color w:val="353535"/>
          <w:lang w:eastAsia="es-ES"/>
        </w:rPr>
        <w:t>o</w:t>
      </w:r>
      <w:proofErr w:type="gramEnd"/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Excelente:</w:t>
      </w:r>
      <w:r w:rsidRPr="001F46EF">
        <w:rPr>
          <w:rFonts w:ascii="Arial" w:eastAsia="Times New Roman" w:hAnsi="Arial" w:cs="Arial"/>
          <w:color w:val="353535"/>
          <w:lang w:eastAsia="es-ES"/>
        </w:rPr>
        <w:t>     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1,656%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Para toda España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. Se mantienen las zonas o regiones de la convocatoria de 2014.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Se mantiene la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exigencia del aval al 10% del importe del préstamo solicitado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, a presentar en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el momento de la solicitud de la ayuda. Se permite el depósito en efectivo y realizar el cambio a aval bancario con posterioridad.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Se mantiene la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inversión mínima a 75.000€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para todo tipo de empresas.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Como novedad, se da cobertura de hasta el 75% de las inversiones, o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u w:val="single"/>
          <w:bdr w:val="none" w:sz="0" w:space="0" w:color="auto" w:frame="1"/>
          <w:lang w:eastAsia="es-ES"/>
        </w:rPr>
        <w:t>3 veces los Fondos Propios para nuevas empresas</w:t>
      </w:r>
      <w:r w:rsidRPr="001F46EF">
        <w:rPr>
          <w:rFonts w:ascii="Arial" w:eastAsia="Times New Roman" w:hAnsi="Arial" w:cs="Arial"/>
          <w:color w:val="353535"/>
          <w:u w:val="single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(constituidas en 2015 o 2014)</w:t>
      </w:r>
      <w:r w:rsidRPr="001F46EF">
        <w:rPr>
          <w:rFonts w:ascii="Arial" w:eastAsia="Times New Roman" w:hAnsi="Arial" w:cs="Arial"/>
          <w:color w:val="353535"/>
          <w:u w:val="single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u w:val="single"/>
          <w:bdr w:val="none" w:sz="0" w:space="0" w:color="auto" w:frame="1"/>
          <w:lang w:eastAsia="es-ES"/>
        </w:rPr>
        <w:t>ó 5</w:t>
      </w:r>
      <w:r w:rsidRPr="001F46EF">
        <w:rPr>
          <w:rFonts w:ascii="Arial" w:eastAsia="Times New Roman" w:hAnsi="Arial" w:cs="Arial"/>
          <w:color w:val="353535"/>
          <w:u w:val="single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u w:val="single"/>
          <w:bdr w:val="none" w:sz="0" w:space="0" w:color="auto" w:frame="1"/>
          <w:lang w:eastAsia="es-ES"/>
        </w:rPr>
        <w:t>veces los Fondos Propios para empresas consolidadas.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Se admite la adquisición de bienes de segunda mano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para cualquier tipo de empresa, no solo a Pymes.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Se admiten también los gastos de ingeniería, además de obra civil, instalaciones y maquinaria.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lastRenderedPageBreak/>
        <w:t>VENTAJAS. AYUDA REINDUS 2015: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</w:pPr>
      <w:r w:rsidRPr="00022740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pict>
          <v:rect id="_x0000_i1025" style="width:425.2pt;height:.75pt" o:hralign="center" o:hrstd="t" o:hr="t" fillcolor="#aca899" stroked="f"/>
        </w:pic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Liquidez.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lang w:eastAsia="es-ES"/>
        </w:rPr>
        <w:t>El préstamo se cobra antes de realizar la inversión</w:t>
      </w:r>
      <w:r w:rsidRPr="001F46EF">
        <w:rPr>
          <w:rFonts w:ascii="Arial" w:eastAsia="Times New Roman" w:hAnsi="Arial" w:cs="Arial"/>
          <w:color w:val="353535"/>
          <w:lang w:eastAsia="es-ES"/>
        </w:rPr>
        <w:t>. El Ministerio ha declarado que pretende que las empresas puedan empezar a cobrar en Junio-Julio 2015.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Fondos propios exigidos bajos</w:t>
      </w:r>
      <w:r w:rsidRPr="001F46EF">
        <w:rPr>
          <w:rFonts w:ascii="Arial" w:eastAsia="Times New Roman" w:hAnsi="Arial" w:cs="Arial"/>
          <w:color w:val="353535"/>
          <w:lang w:eastAsia="es-ES"/>
        </w:rPr>
        <w:t> (aportación socios): 25% teniendo en cuenta que el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importe máximo del préstamo será 3 veces Fondos Propios que figuren en el balance de las últimas cuentas anuales registradas para empresas nuevas y 5 veces para las empresas consolidadas</w:t>
      </w:r>
      <w:r w:rsidRPr="001F46EF">
        <w:rPr>
          <w:rFonts w:ascii="Arial" w:eastAsia="Times New Roman" w:hAnsi="Arial" w:cs="Arial"/>
          <w:color w:val="353535"/>
          <w:lang w:eastAsia="es-ES"/>
        </w:rPr>
        <w:t>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Tipo de interés reducido:</w:t>
      </w:r>
      <w:r w:rsidRPr="001F46EF">
        <w:rPr>
          <w:rFonts w:ascii="Arial" w:eastAsia="Times New Roman" w:hAnsi="Arial" w:cs="Arial"/>
          <w:color w:val="353535"/>
          <w:lang w:eastAsia="es-ES"/>
        </w:rPr>
        <w:t> 1,656 para Empresas calificadas como "excelentes", 2,54 para "buenas" y 4,34% para "satisfactorias".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Aval reducido:</w:t>
      </w:r>
      <w:r w:rsidRPr="001F46EF">
        <w:rPr>
          <w:rFonts w:ascii="Arial" w:eastAsia="Times New Roman" w:hAnsi="Arial" w:cs="Arial"/>
          <w:color w:val="353535"/>
          <w:lang w:eastAsia="es-ES"/>
        </w:rPr>
        <w:t> Exige presentar, en el momento de la solicitud de la ayuda, el resguardo del  aval o depósito en efectivo por el 10% del préstamo solicitado. 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lang w:eastAsia="es-ES"/>
        </w:rPr>
        <w:t>No es necesaria la aprobación previa de ningún banco ni caja. El crédito lo da directamente el Ministerio de Industria a la empresa.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Plazos amplios de devolución del préstamo 10 años</w:t>
      </w:r>
      <w:r w:rsidRPr="001F46EF">
        <w:rPr>
          <w:rFonts w:ascii="Arial" w:eastAsia="Times New Roman" w:hAnsi="Arial" w:cs="Arial"/>
          <w:color w:val="353535"/>
          <w:lang w:eastAsia="es-ES"/>
        </w:rPr>
        <w:t> (3 de carencia + 7 de amortización).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Amortización anual.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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Sin ningún tipo de comisión.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BENEFICIARIOS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lang w:eastAsia="es-ES"/>
        </w:rPr>
      </w:pPr>
      <w:r w:rsidRPr="00022740">
        <w:rPr>
          <w:rFonts w:ascii="Arial" w:eastAsia="Times New Roman" w:hAnsi="Arial" w:cs="Arial"/>
          <w:color w:val="444444"/>
          <w:lang w:eastAsia="es-ES"/>
        </w:rPr>
        <w:pict>
          <v:rect id="_x0000_i1026" style="width:425.2pt;height:.75pt" o:hralign="center" o:hrstd="t" o:hrnoshade="t" o:hr="t" fillcolor="#353535" stroked="f"/>
        </w:pic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Cualquier empresa, sea o no PYME, constituida antes de solicitar la ayuda. Aunque la empresa no esté incluida en un CNAE industrial, podrá solicitar la ayuda siempre y cuando vaya a realizar una inversión industrial.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ACTIVIDAD BENEFICIABLE POR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lang w:eastAsia="es-ES"/>
        </w:rPr>
      </w:pPr>
      <w:r w:rsidRPr="00022740">
        <w:rPr>
          <w:rFonts w:ascii="Arial" w:eastAsia="Times New Roman" w:hAnsi="Arial" w:cs="Arial"/>
          <w:color w:val="444444"/>
          <w:lang w:eastAsia="es-ES"/>
        </w:rPr>
        <w:pict>
          <v:rect id="_x0000_i1027" style="width:425.2pt;height:.75pt" o:hralign="center" o:hrstd="t" o:hrnoshade="t" o:hr="t" fillcolor="#353535" stroked="f"/>
        </w:pic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Se subvencionan Nuevas empresas y  la ampliación, modernización o traslado de Líneas ya existentes.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lastRenderedPageBreak/>
        <w:t>ÁREAS GEOGRÁFICAS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lang w:eastAsia="es-ES"/>
        </w:rPr>
      </w:pPr>
      <w:r w:rsidRPr="00022740">
        <w:rPr>
          <w:rFonts w:ascii="Arial" w:eastAsia="Times New Roman" w:hAnsi="Arial" w:cs="Arial"/>
          <w:color w:val="444444"/>
          <w:lang w:eastAsia="es-ES"/>
        </w:rPr>
        <w:pict>
          <v:rect id="_x0000_i1028" style="width:425.2pt;height:.75pt" o:hralign="center" o:hrstd="t" o:hrnoshade="t" o:hr="t" fillcolor="#353535" stroked="f"/>
        </w:pic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Al igual que en otros años existe una Convocatoria General, para toda España y zonas con presupuesto propio: C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 xml:space="preserve">anarias, Bahía de </w:t>
      </w:r>
      <w:proofErr w:type="spellStart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Cadiz</w:t>
      </w:r>
      <w:proofErr w:type="spellEnd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 xml:space="preserve">, Campo de Gibraltar, Margen Izquierda del Nervión, Comarcas de El Ferrol, </w:t>
      </w:r>
      <w:proofErr w:type="spellStart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Eume</w:t>
      </w:r>
      <w:proofErr w:type="spellEnd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 xml:space="preserve"> y </w:t>
      </w:r>
      <w:proofErr w:type="spellStart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Ortegal</w:t>
      </w:r>
      <w:proofErr w:type="spellEnd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 xml:space="preserve"> (A Coruña), Soria, Teruel y </w:t>
      </w:r>
      <w:proofErr w:type="spellStart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Jaen</w:t>
      </w:r>
      <w:proofErr w:type="spellEnd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, El Hierro, Lorca, Extremadura.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353535"/>
          <w:u w:val="single"/>
          <w:bdr w:val="none" w:sz="0" w:space="0" w:color="auto" w:frame="1"/>
          <w:lang w:eastAsia="es-ES"/>
        </w:rPr>
        <w:t>Fomento competitividad Industrial: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Sector aeroespacial, Sector Automoción (vehículos propulsados con energías alterativas) e Industria Manufacturera en general.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REINDUS. PLAZO DE LAS INVERSIONES DE REINDUSTRIALIZACIÓN: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53535"/>
          <w:lang w:eastAsia="es-ES"/>
        </w:rPr>
      </w:pPr>
      <w:r w:rsidRPr="00022740">
        <w:rPr>
          <w:rFonts w:ascii="Arial" w:eastAsia="Times New Roman" w:hAnsi="Arial" w:cs="Arial"/>
          <w:color w:val="353535"/>
          <w:lang w:eastAsia="es-ES"/>
        </w:rPr>
        <w:pict>
          <v:rect id="_x0000_i1029" style="width:425.2pt;height:.75pt" o:hralign="center" o:hrstd="t" o:hr="t" fillcolor="#aca899" stroked="f"/>
        </w:pict>
      </w:r>
    </w:p>
    <w:p w:rsidR="001F46EF" w:rsidRPr="001F46EF" w:rsidRDefault="001F46EF" w:rsidP="001F46EF">
      <w:pPr>
        <w:shd w:val="clear" w:color="auto" w:fill="FFFFFF"/>
        <w:spacing w:after="324" w:line="270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Symbol" w:eastAsia="Times New Roman" w:hAnsi="Symbol" w:cs="Times New Roman"/>
          <w:color w:val="353535"/>
          <w:lang w:eastAsia="es-ES"/>
        </w:rPr>
        <w:t>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      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Inicio de las inversiones:</w:t>
      </w:r>
      <w:r w:rsidRPr="001F46EF">
        <w:rPr>
          <w:rFonts w:ascii="Arial" w:eastAsia="Times New Roman" w:hAnsi="Arial" w:cs="Arial"/>
          <w:color w:val="353535"/>
          <w:lang w:eastAsia="es-ES"/>
        </w:rPr>
        <w:t> 01 de enero de 2015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Symbol" w:eastAsia="Times New Roman" w:hAnsi="Symbol" w:cs="Times New Roman"/>
          <w:color w:val="353535"/>
          <w:lang w:eastAsia="es-ES"/>
        </w:rPr>
        <w:t>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      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Fin de las inversiones:</w:t>
      </w:r>
      <w:r w:rsidRPr="001F46EF">
        <w:rPr>
          <w:rFonts w:ascii="Arial" w:eastAsia="Times New Roman" w:hAnsi="Arial" w:cs="Arial"/>
          <w:color w:val="353535"/>
          <w:lang w:eastAsia="es-ES"/>
        </w:rPr>
        <w:t> 18 meses contados desde la fecha de resolución de la ayuda. Los pagos de las inversiones podrán realizarse hasta en los tres meses siguientes a ese plazo de finalización de inversiones.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CONCEPTOS SUBVENCIONABLES POR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53535"/>
          <w:lang w:eastAsia="es-ES"/>
        </w:rPr>
      </w:pPr>
      <w:r w:rsidRPr="00022740">
        <w:rPr>
          <w:rFonts w:ascii="Arial" w:eastAsia="Times New Roman" w:hAnsi="Arial" w:cs="Arial"/>
          <w:color w:val="353535"/>
          <w:lang w:eastAsia="es-ES"/>
        </w:rPr>
        <w:pict>
          <v:rect id="_x0000_i1030" style="width:425.2pt;height:.75pt" o:hralign="center" o:hrstd="t" o:hr="t" fillcolor="#aca899" stroked="f"/>
        </w:pic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 xml:space="preserve">Urbanización, edificios, aparatos y equipos, patentes y licencias de explotación; especialmente los bienes de equipo y las inversiones que incorporen a </w:t>
      </w:r>
      <w:proofErr w:type="gramStart"/>
      <w:r w:rsidRPr="001F46EF">
        <w:rPr>
          <w:rFonts w:ascii="Arial" w:eastAsia="Times New Roman" w:hAnsi="Arial" w:cs="Arial"/>
          <w:color w:val="353535"/>
          <w:lang w:eastAsia="es-ES"/>
        </w:rPr>
        <w:t>éstos</w:t>
      </w:r>
      <w:proofErr w:type="gramEnd"/>
      <w:r w:rsidRPr="001F46EF">
        <w:rPr>
          <w:rFonts w:ascii="Arial" w:eastAsia="Times New Roman" w:hAnsi="Arial" w:cs="Arial"/>
          <w:color w:val="353535"/>
          <w:lang w:eastAsia="es-ES"/>
        </w:rPr>
        <w:t xml:space="preserve"> procesos con un alto contenido tecnológico vinculados a proyectos de reindustrialización.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En caso de</w:t>
      </w:r>
      <w:r w:rsidR="00142B77">
        <w:rPr>
          <w:rFonts w:ascii="Arial" w:eastAsia="Times New Roman" w:hAnsi="Arial" w:cs="Arial"/>
          <w:color w:val="353535"/>
          <w:lang w:eastAsia="es-ES"/>
        </w:rPr>
        <w:t xml:space="preserve"> 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adquisición de un establecimiento</w:t>
      </w:r>
      <w:r w:rsidRPr="001F46EF">
        <w:rPr>
          <w:rFonts w:ascii="Arial" w:eastAsia="Times New Roman" w:hAnsi="Arial" w:cs="Arial"/>
          <w:color w:val="353535"/>
          <w:lang w:eastAsia="es-ES"/>
        </w:rPr>
        <w:t xml:space="preserve">, únicamente deberán tomarse en consideración </w:t>
      </w:r>
      <w:proofErr w:type="gramStart"/>
      <w:r w:rsidRPr="001F46EF">
        <w:rPr>
          <w:rFonts w:ascii="Arial" w:eastAsia="Times New Roman" w:hAnsi="Arial" w:cs="Arial"/>
          <w:color w:val="353535"/>
          <w:lang w:eastAsia="es-ES"/>
        </w:rPr>
        <w:t>los coste</w:t>
      </w:r>
      <w:proofErr w:type="gramEnd"/>
      <w:r w:rsidRPr="001F46EF">
        <w:rPr>
          <w:rFonts w:ascii="Arial" w:eastAsia="Times New Roman" w:hAnsi="Arial" w:cs="Arial"/>
          <w:color w:val="353535"/>
          <w:lang w:eastAsia="es-ES"/>
        </w:rPr>
        <w:t xml:space="preserve"> de adquisición de activos a terceros, siempre y cuando la operación se lleve a cabo en condiciones de mercado y no hayan sido subvencionadas anteriormente.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Se admiten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bienes de segunda mano</w:t>
      </w:r>
      <w:r w:rsidRPr="001F46EF">
        <w:rPr>
          <w:rFonts w:ascii="Arial" w:eastAsia="Times New Roman" w:hAnsi="Arial" w:cs="Arial"/>
          <w:color w:val="353535"/>
          <w:lang w:eastAsia="es-ES"/>
        </w:rPr>
        <w:t> para cualquier tipo de empresa.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Se exige el mantenimiento de la inversión dentro de la empresa durante 5 años mínimo.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Costes subvencionables: </w:t>
      </w:r>
      <w:r w:rsidRPr="001F46EF">
        <w:rPr>
          <w:rFonts w:ascii="Arial" w:eastAsia="Times New Roman" w:hAnsi="Arial" w:cs="Arial"/>
          <w:color w:val="353535"/>
          <w:u w:val="single"/>
          <w:lang w:eastAsia="es-ES"/>
        </w:rPr>
        <w:t>Inversión mínima 75.000 €</w:t>
      </w:r>
      <w:r w:rsidRPr="001F46EF">
        <w:rPr>
          <w:rFonts w:ascii="Arial" w:eastAsia="Times New Roman" w:hAnsi="Arial" w:cs="Arial"/>
          <w:color w:val="353535"/>
          <w:lang w:eastAsia="es-ES"/>
        </w:rPr>
        <w:t> para cualquier tipo de empresa.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Obra civil (excluidos los terrenos).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lastRenderedPageBreak/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Edificaciones (adquisición o construcción).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Aparatos, Equipos, Instalaciones y Maquinaria.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 xml:space="preserve">Gastos de ingeniería (sólo para ampliaciones y traslados, no para nuevos </w:t>
      </w:r>
      <w:proofErr w:type="gramStart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establecimientos )</w:t>
      </w:r>
      <w:proofErr w:type="gramEnd"/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La suma del presupuesto en Obra Civil y Edificación no podrá superar el 70% del presupuesto total en nuevas empresas y traslados y en los proyectos de modernización y ampliación, el importe máximo será el importe del presupuesto en equipos y maquinaria.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La partida de Gastos de Ingeniería será como máximo el 30% del presupuesto de adquisición de aparatos, equipos, instalaciones y maquinaria.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PLAZO SOLICITUD DE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53535"/>
          <w:lang w:eastAsia="es-ES"/>
        </w:rPr>
      </w:pPr>
      <w:r w:rsidRPr="00022740">
        <w:rPr>
          <w:rFonts w:ascii="Arial" w:eastAsia="Times New Roman" w:hAnsi="Arial" w:cs="Arial"/>
          <w:color w:val="353535"/>
          <w:lang w:eastAsia="es-ES"/>
        </w:rPr>
        <w:pict>
          <v:rect id="_x0000_i1031" style="width:425.2pt;height:.75pt" o:hralign="center" o:hrstd="t" o:hr="t" fillcolor="#aca899" stroked="f"/>
        </w:pic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Límite para solicitar la ayuda:</w:t>
      </w:r>
      <w:r w:rsidRPr="001F46EF">
        <w:rPr>
          <w:rFonts w:ascii="Arial" w:eastAsia="Times New Roman" w:hAnsi="Arial" w:cs="Arial"/>
          <w:color w:val="353535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bdr w:val="none" w:sz="0" w:space="0" w:color="auto" w:frame="1"/>
          <w:lang w:eastAsia="es-ES"/>
        </w:rPr>
        <w:t>Desde el 01/04/2015 al 01/06/2015.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bdr w:val="none" w:sz="0" w:space="0" w:color="auto" w:frame="1"/>
          <w:lang w:eastAsia="es-ES"/>
        </w:rPr>
        <w:t>Presentación vía telemática (hace falta firma electrónica).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CRITERIOS DE VALORACIÓN Y PRIORIDADES DE REINDUS: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aps/>
          <w:color w:val="993366"/>
          <w:bdr w:val="none" w:sz="0" w:space="0" w:color="auto" w:frame="1"/>
          <w:lang w:eastAsia="es-ES"/>
        </w:rPr>
      </w:pPr>
      <w:r w:rsidRPr="00022740">
        <w:rPr>
          <w:rFonts w:ascii="Arial" w:eastAsia="Times New Roman" w:hAnsi="Arial" w:cs="Arial"/>
          <w:caps/>
          <w:color w:val="993366"/>
          <w:bdr w:val="none" w:sz="0" w:space="0" w:color="auto" w:frame="1"/>
          <w:lang w:eastAsia="es-ES"/>
        </w:rPr>
        <w:pict>
          <v:rect id="_x0000_i1032" style="width:425.2pt;height:.75pt" o:hralign="center" o:hrstd="t" o:hr="t" fillcolor="#aca899" stroked="f"/>
        </w:pic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Viabilidad económica</w:t>
      </w:r>
      <w:r w:rsidRPr="001F46EF">
        <w:rPr>
          <w:rFonts w:ascii="Arial" w:eastAsia="Times New Roman" w:hAnsi="Arial" w:cs="Arial"/>
          <w:color w:val="353535"/>
          <w:lang w:eastAsia="es-ES"/>
        </w:rPr>
        <w:t> para garantizar el repago del préstamo.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Creación de empleo</w:t>
      </w:r>
      <w:r w:rsidRPr="001F46EF">
        <w:rPr>
          <w:rFonts w:ascii="Arial" w:eastAsia="Times New Roman" w:hAnsi="Arial" w:cs="Arial"/>
          <w:color w:val="353535"/>
          <w:lang w:eastAsia="es-ES"/>
        </w:rPr>
        <w:t> fijo y temporal, tanto directo como indirecto.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Generación de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valor añadido</w:t>
      </w:r>
      <w:r w:rsidRPr="001F46EF">
        <w:rPr>
          <w:rFonts w:ascii="Arial" w:eastAsia="Times New Roman" w:hAnsi="Arial" w:cs="Arial"/>
          <w:color w:val="353535"/>
          <w:lang w:eastAsia="es-ES"/>
        </w:rPr>
        <w:t>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Capacidad exportadora</w:t>
      </w:r>
      <w:r w:rsidRPr="001F46EF">
        <w:rPr>
          <w:rFonts w:ascii="Arial" w:eastAsia="Times New Roman" w:hAnsi="Arial" w:cs="Arial"/>
          <w:color w:val="353535"/>
          <w:lang w:eastAsia="es-ES"/>
        </w:rPr>
        <w:t>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Introducción de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innovaciones tecnológicas</w:t>
      </w:r>
      <w:r w:rsidRPr="001F46EF">
        <w:rPr>
          <w:rFonts w:ascii="Arial" w:eastAsia="Times New Roman" w:hAnsi="Arial" w:cs="Arial"/>
          <w:color w:val="353535"/>
          <w:lang w:eastAsia="es-ES"/>
        </w:rPr>
        <w:t> en procesos.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Garantía de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ejecución del proyecto</w:t>
      </w:r>
      <w:r w:rsidRPr="001F46EF">
        <w:rPr>
          <w:rFonts w:ascii="Arial" w:eastAsia="Times New Roman" w:hAnsi="Arial" w:cs="Arial"/>
          <w:color w:val="353535"/>
          <w:lang w:eastAsia="es-ES"/>
        </w:rPr>
        <w:t> dentro de los plazos.</w:t>
      </w:r>
    </w:p>
    <w:p w:rsidR="001F46EF" w:rsidRPr="001F46EF" w:rsidRDefault="001F46EF" w:rsidP="001F46EF">
      <w:pPr>
        <w:shd w:val="clear" w:color="auto" w:fill="FFFFFF"/>
        <w:spacing w:after="324" w:line="288" w:lineRule="atLeast"/>
        <w:ind w:hanging="360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Wingdings" w:eastAsia="Times New Roman" w:hAnsi="Wingdings" w:cs="Times New Roman"/>
          <w:color w:val="353535"/>
          <w:sz w:val="20"/>
          <w:szCs w:val="20"/>
          <w:lang w:eastAsia="es-ES"/>
        </w:rPr>
        <w:lastRenderedPageBreak/>
        <w:t></w:t>
      </w:r>
      <w:r w:rsidRPr="001F46EF">
        <w:rPr>
          <w:rFonts w:ascii="Times New Roman" w:eastAsia="Times New Roman" w:hAnsi="Times New Roman" w:cs="Times New Roman"/>
          <w:color w:val="353535"/>
          <w:sz w:val="14"/>
          <w:szCs w:val="14"/>
          <w:lang w:eastAsia="es-ES"/>
        </w:rPr>
        <w:t> </w:t>
      </w:r>
      <w:r w:rsidRPr="001F46EF">
        <w:rPr>
          <w:rFonts w:ascii="Times New Roman" w:eastAsia="Times New Roman" w:hAnsi="Times New Roman" w:cs="Times New Roman"/>
          <w:color w:val="353535"/>
          <w:sz w:val="14"/>
          <w:lang w:eastAsia="es-ES"/>
        </w:rPr>
        <w:t> </w:t>
      </w:r>
      <w:r w:rsidRPr="001F46EF">
        <w:rPr>
          <w:rFonts w:ascii="Arial" w:eastAsia="Times New Roman" w:hAnsi="Arial" w:cs="Arial"/>
          <w:color w:val="353535"/>
          <w:lang w:eastAsia="es-ES"/>
        </w:rPr>
        <w:t>Calidad y </w:t>
      </w:r>
      <w:r w:rsidRPr="001F46EF">
        <w:rPr>
          <w:rFonts w:ascii="Arial" w:eastAsia="Times New Roman" w:hAnsi="Arial" w:cs="Arial"/>
          <w:b/>
          <w:bCs/>
          <w:color w:val="353535"/>
          <w:u w:val="single"/>
          <w:lang w:eastAsia="es-ES"/>
        </w:rPr>
        <w:t>viabilidad técnica</w:t>
      </w:r>
      <w:r w:rsidRPr="001F46EF">
        <w:rPr>
          <w:rFonts w:ascii="Arial" w:eastAsia="Times New Roman" w:hAnsi="Arial" w:cs="Arial"/>
          <w:color w:val="353535"/>
          <w:lang w:eastAsia="es-ES"/>
        </w:rPr>
        <w:t> del proyecto.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La reducción de presupuestos y la pública concurrencia, hace que sólo se aprueben los proyectos con mejores valoraciones.  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 xml:space="preserve">DOCUMENTACIÓN necesaria para solicitar </w:t>
      </w:r>
      <w:proofErr w:type="spellStart"/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Reindus</w:t>
      </w:r>
      <w:proofErr w:type="spellEnd"/>
      <w:r w:rsidRPr="001F46EF">
        <w:rPr>
          <w:rFonts w:ascii="Arial" w:eastAsia="Times New Roman" w:hAnsi="Arial" w:cs="Arial"/>
          <w:b/>
          <w:bCs/>
          <w:color w:val="91005F"/>
          <w:bdr w:val="none" w:sz="0" w:space="0" w:color="auto" w:frame="1"/>
          <w:lang w:eastAsia="es-ES"/>
        </w:rPr>
        <w:t>:</w:t>
      </w:r>
    </w:p>
    <w:p w:rsidR="001F46EF" w:rsidRPr="001F46EF" w:rsidRDefault="00022740" w:rsidP="001F46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53535"/>
          <w:lang w:eastAsia="es-ES"/>
        </w:rPr>
      </w:pPr>
      <w:r w:rsidRPr="00022740">
        <w:rPr>
          <w:rFonts w:ascii="Arial" w:eastAsia="Times New Roman" w:hAnsi="Arial" w:cs="Arial"/>
          <w:color w:val="353535"/>
          <w:lang w:eastAsia="es-ES"/>
        </w:rPr>
        <w:pict>
          <v:rect id="_x0000_i1033" style="width:425.2pt;height:.75pt" o:hralign="center" o:hrstd="t" o:hr="t" fillcolor="#aca899" stroked="f"/>
        </w:pic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Memoria explicativa que justifique las inversiones a realizar. Objetivo, alcance.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DNI persona con poderes.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Poderes.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CIF.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Escrituras de constitución.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TC2 de los últimos 12 meses.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Cuentas anuales Registradas 2012, 2013 y 2014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Balance y Cuentas de resultado en formato de cuentas anuales ejercicio 2014 (en el caso de no tener registradas las cuentas 2014)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CIRBE de la sociedad.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Situación de deudas: Relación de Préstamos en vigor.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Certificados de estar al corriente de pagos Hacienda y Seguridad Social.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Resguardo de constitución de aval.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 xml:space="preserve">Inst. Solicitud según impresos normalizados </w:t>
      </w:r>
      <w:proofErr w:type="spellStart"/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Reindus</w:t>
      </w:r>
      <w:proofErr w:type="spellEnd"/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 xml:space="preserve"> (*)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Cuestionario electrónico según impresos normalizados (*)</w:t>
      </w:r>
    </w:p>
    <w:p w:rsidR="001F46EF" w:rsidRPr="001F46EF" w:rsidRDefault="001F46EF" w:rsidP="001F46EF">
      <w:pPr>
        <w:numPr>
          <w:ilvl w:val="0"/>
          <w:numId w:val="1"/>
        </w:numPr>
        <w:spacing w:after="45" w:line="288" w:lineRule="atLeast"/>
        <w:jc w:val="both"/>
        <w:rPr>
          <w:rFonts w:ascii="Calibri" w:eastAsia="Times New Roman" w:hAnsi="Calibri" w:cs="Arial"/>
          <w:color w:val="353535"/>
          <w:shd w:val="clear" w:color="auto" w:fill="FFFFFF"/>
          <w:lang w:eastAsia="es-ES"/>
        </w:rPr>
      </w:pPr>
      <w:r w:rsidRPr="001F46EF">
        <w:rPr>
          <w:rFonts w:ascii="Arial" w:eastAsia="Times New Roman" w:hAnsi="Arial" w:cs="Arial"/>
          <w:color w:val="353535"/>
          <w:shd w:val="clear" w:color="auto" w:fill="FFFFFF"/>
          <w:lang w:eastAsia="es-ES"/>
        </w:rPr>
        <w:t>Memoria del proyecto según impresos normalizados(*)</w:t>
      </w:r>
    </w:p>
    <w:p w:rsidR="001F46EF" w:rsidRPr="001F46EF" w:rsidRDefault="001F46EF" w:rsidP="001F46EF">
      <w:pPr>
        <w:shd w:val="clear" w:color="auto" w:fill="FFFFFF"/>
        <w:spacing w:after="324" w:line="270" w:lineRule="atLeast"/>
        <w:ind w:firstLine="708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353535"/>
          <w:lang w:eastAsia="es-ES"/>
        </w:rPr>
        <w:t>(*) Nosotros lo confeccionamos y te lo remitimos para su validación.</w:t>
      </w:r>
    </w:p>
    <w:p w:rsidR="001F46EF" w:rsidRPr="001F46EF" w:rsidRDefault="001F46EF" w:rsidP="001F46EF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1F497D"/>
          <w:lang w:eastAsia="es-ES"/>
        </w:rPr>
        <w:t> </w:t>
      </w:r>
    </w:p>
    <w:p w:rsidR="001F46EF" w:rsidRPr="001F46EF" w:rsidRDefault="001F46EF" w:rsidP="00142B77">
      <w:pPr>
        <w:shd w:val="clear" w:color="auto" w:fill="FFFFFF"/>
        <w:spacing w:after="324" w:line="312" w:lineRule="atLeast"/>
        <w:jc w:val="both"/>
        <w:rPr>
          <w:rFonts w:ascii="Calibri" w:eastAsia="Times New Roman" w:hAnsi="Calibri" w:cs="Times New Roman"/>
          <w:color w:val="444444"/>
          <w:lang w:eastAsia="es-ES"/>
        </w:rPr>
      </w:pPr>
      <w:r w:rsidRPr="001F46EF">
        <w:rPr>
          <w:rFonts w:ascii="Arial" w:eastAsia="Times New Roman" w:hAnsi="Arial" w:cs="Arial"/>
          <w:color w:val="444444"/>
          <w:lang w:eastAsia="es-ES"/>
        </w:rPr>
        <w:t>El plazo para la </w:t>
      </w:r>
      <w:r w:rsidRPr="001F46EF">
        <w:rPr>
          <w:rFonts w:ascii="Arial" w:eastAsia="Times New Roman" w:hAnsi="Arial" w:cs="Arial"/>
          <w:b/>
          <w:bCs/>
          <w:color w:val="444444"/>
          <w:lang w:eastAsia="es-ES"/>
        </w:rPr>
        <w:t>presentación de la solicitud de estas ayudas finalizan el </w:t>
      </w:r>
      <w:r w:rsidRPr="001F46EF">
        <w:rPr>
          <w:rFonts w:ascii="Arial" w:eastAsia="Times New Roman" w:hAnsi="Arial" w:cs="Arial"/>
          <w:b/>
          <w:bCs/>
          <w:color w:val="444444"/>
          <w:u w:val="single"/>
          <w:lang w:eastAsia="es-ES"/>
        </w:rPr>
        <w:t>1 de Junio de 2015.</w:t>
      </w:r>
      <w:r w:rsidRPr="001F46EF">
        <w:rPr>
          <w:rFonts w:ascii="Arial" w:eastAsia="Times New Roman" w:hAnsi="Arial" w:cs="Arial"/>
          <w:b/>
          <w:bCs/>
          <w:color w:val="444444"/>
          <w:lang w:eastAsia="es-ES"/>
        </w:rPr>
        <w:t> </w:t>
      </w:r>
      <w:r w:rsidR="00142B77" w:rsidRPr="001F46EF">
        <w:rPr>
          <w:rFonts w:ascii="Calibri" w:eastAsia="Times New Roman" w:hAnsi="Calibri" w:cs="Times New Roman"/>
          <w:color w:val="444444"/>
          <w:lang w:eastAsia="es-ES"/>
        </w:rPr>
        <w:t xml:space="preserve"> </w:t>
      </w:r>
    </w:p>
    <w:p w:rsidR="00874476" w:rsidRDefault="00874476"/>
    <w:sectPr w:rsidR="00874476" w:rsidSect="00167081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8F" w:rsidRDefault="0028778F" w:rsidP="00167081">
      <w:pPr>
        <w:spacing w:after="0" w:line="240" w:lineRule="auto"/>
      </w:pPr>
      <w:r>
        <w:separator/>
      </w:r>
    </w:p>
  </w:endnote>
  <w:endnote w:type="continuationSeparator" w:id="0">
    <w:p w:rsidR="0028778F" w:rsidRDefault="0028778F" w:rsidP="001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8F" w:rsidRDefault="0028778F" w:rsidP="00167081">
      <w:pPr>
        <w:spacing w:after="0" w:line="240" w:lineRule="auto"/>
      </w:pPr>
      <w:r>
        <w:separator/>
      </w:r>
    </w:p>
  </w:footnote>
  <w:footnote w:type="continuationSeparator" w:id="0">
    <w:p w:rsidR="0028778F" w:rsidRDefault="0028778F" w:rsidP="0016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81" w:rsidRDefault="00167081">
    <w:pPr>
      <w:pStyle w:val="Encabezado"/>
    </w:pPr>
    <w:r>
      <w:rPr>
        <w:noProof/>
        <w:lang w:eastAsia="es-ES"/>
      </w:rPr>
      <w:drawing>
        <wp:inline distT="0" distB="0" distL="0" distR="0">
          <wp:extent cx="1419225" cy="544117"/>
          <wp:effectExtent l="19050" t="0" r="9525" b="0"/>
          <wp:docPr id="10" name="Imagen 10" descr="\\WIN-IIRMXFZW3UU\D Datos\Datos\Usuarios\Mª del Rosario\Mis documentos\Mis imágenes\logo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WIN-IIRMXFZW3UU\D Datos\Datos\Usuarios\Mª del Rosario\Mis documentos\Mis imágenes\logo cama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557" cy="545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C02"/>
    <w:multiLevelType w:val="multilevel"/>
    <w:tmpl w:val="B8F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EF"/>
    <w:rsid w:val="00022740"/>
    <w:rsid w:val="00142B77"/>
    <w:rsid w:val="00167081"/>
    <w:rsid w:val="001E4412"/>
    <w:rsid w:val="001F46EF"/>
    <w:rsid w:val="0028778F"/>
    <w:rsid w:val="003D1006"/>
    <w:rsid w:val="0075241F"/>
    <w:rsid w:val="00837EC3"/>
    <w:rsid w:val="00874476"/>
    <w:rsid w:val="00A11659"/>
    <w:rsid w:val="00A57780"/>
    <w:rsid w:val="00A9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F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F46EF"/>
  </w:style>
  <w:style w:type="character" w:styleId="Hipervnculo">
    <w:name w:val="Hyperlink"/>
    <w:basedOn w:val="Fuentedeprrafopredeter"/>
    <w:uiPriority w:val="99"/>
    <w:semiHidden/>
    <w:unhideWhenUsed/>
    <w:rsid w:val="001F46EF"/>
    <w:rPr>
      <w:color w:val="0000FF"/>
      <w:u w:val="single"/>
    </w:rPr>
  </w:style>
  <w:style w:type="paragraph" w:customStyle="1" w:styleId="ecxmsolistparagraph">
    <w:name w:val="ecxmsolistparagraph"/>
    <w:basedOn w:val="Normal"/>
    <w:rsid w:val="001F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081"/>
  </w:style>
  <w:style w:type="paragraph" w:styleId="Piedepgina">
    <w:name w:val="footer"/>
    <w:basedOn w:val="Normal"/>
    <w:link w:val="PiedepginaCar"/>
    <w:uiPriority w:val="99"/>
    <w:semiHidden/>
    <w:unhideWhenUsed/>
    <w:rsid w:val="00167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081"/>
  </w:style>
  <w:style w:type="paragraph" w:styleId="Textodeglobo">
    <w:name w:val="Balloon Text"/>
    <w:basedOn w:val="Normal"/>
    <w:link w:val="TextodegloboCar"/>
    <w:uiPriority w:val="99"/>
    <w:semiHidden/>
    <w:unhideWhenUsed/>
    <w:rsid w:val="0016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recto.es/incentivos-economicos-reg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Comercio</dc:creator>
  <cp:keywords/>
  <dc:description/>
  <cp:lastModifiedBy>Camara de Comercio</cp:lastModifiedBy>
  <cp:revision>2</cp:revision>
  <dcterms:created xsi:type="dcterms:W3CDTF">2015-04-09T10:43:00Z</dcterms:created>
  <dcterms:modified xsi:type="dcterms:W3CDTF">2015-04-09T10:43:00Z</dcterms:modified>
</cp:coreProperties>
</file>