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Rockwell Bold" w:cs="Rockwell Bold" w:hAnsi="Rockwell Bold" w:eastAsia="Rockwell Bold"/>
        </w:rPr>
      </w:pPr>
      <w:r>
        <w:rPr>
          <w:rFonts w:ascii="Rockwell Bold" w:hAnsi="Rockwell Bold"/>
          <w:rtl w:val="0"/>
          <w:lang w:val="en-US"/>
        </w:rPr>
        <w:t>College Missions Council</w:t>
      </w:r>
    </w:p>
    <w:p>
      <w:pPr>
        <w:pStyle w:val="Default"/>
        <w:spacing w:before="0" w:line="240" w:lineRule="auto"/>
        <w:jc w:val="center"/>
        <w:rPr>
          <w:rFonts w:ascii="Rockwell" w:cs="Rockwell" w:hAnsi="Rockwell" w:eastAsia="Rockwell"/>
        </w:rPr>
      </w:pPr>
      <w:r>
        <w:rPr>
          <w:rFonts w:ascii="Rockwell Bold" w:hAnsi="Rockwell Bold"/>
          <w:rtl w:val="0"/>
          <w:lang w:val="en-US"/>
        </w:rPr>
        <w:t>Grant Opportunity</w:t>
      </w:r>
    </w:p>
    <w:p>
      <w:pPr>
        <w:pStyle w:val="Default"/>
        <w:spacing w:before="0" w:line="240" w:lineRule="auto"/>
        <w:rPr>
          <w:rFonts w:ascii="Rockwell" w:cs="Rockwell" w:hAnsi="Rockwell" w:eastAsia="Rockwell"/>
        </w:rPr>
      </w:pPr>
    </w:p>
    <w:p>
      <w:pPr>
        <w:pStyle w:val="Default"/>
        <w:spacing w:before="0" w:line="240" w:lineRule="auto"/>
        <w:rPr>
          <w:rFonts w:ascii="Rockwell" w:cs="Rockwell" w:hAnsi="Rockwell" w:eastAsia="Rockwell"/>
        </w:rPr>
      </w:pPr>
      <w:r>
        <w:rPr>
          <w:rFonts w:ascii="Rockwell" w:hAnsi="Rockwell"/>
          <w:rtl w:val="0"/>
          <w:lang w:val="en-US"/>
        </w:rPr>
        <w:t>The Diocese of West Texas College Missions Council supports ministries of, to, and with young adults (ages 18-30) both on and off college campuses. We are calling for proposals from parishes that envision ministry for and with young adults in the diocese. Grants of up to $5,000 are available to support young adult and campus ministries. Interested congregations may send proposals to the Council, which will be responsible for allocating grant monies and coordinating college ministry efforts.</w:t>
      </w:r>
    </w:p>
    <w:p>
      <w:pPr>
        <w:pStyle w:val="Body"/>
        <w:rPr>
          <w:rFonts w:ascii="Rockwell" w:cs="Rockwell" w:hAnsi="Rockwell" w:eastAsia="Rockwell"/>
        </w:rPr>
      </w:pPr>
    </w:p>
    <w:p>
      <w:pPr>
        <w:pStyle w:val="Default"/>
        <w:spacing w:before="0" w:line="240" w:lineRule="auto"/>
        <w:rPr>
          <w:rFonts w:ascii="Rockwell Bold" w:cs="Rockwell Bold" w:hAnsi="Rockwell Bold" w:eastAsia="Rockwell Bold"/>
        </w:rPr>
      </w:pPr>
      <w:r>
        <w:rPr>
          <w:rFonts w:ascii="Rockwell Bold" w:hAnsi="Rockwell Bold"/>
          <w:rtl w:val="0"/>
          <w:lang w:val="en-US"/>
        </w:rPr>
        <w:t xml:space="preserve">What can the grant be used for? </w:t>
      </w:r>
    </w:p>
    <w:p>
      <w:pPr>
        <w:pStyle w:val="Default"/>
        <w:spacing w:before="0" w:line="240" w:lineRule="auto"/>
        <w:rPr>
          <w:rFonts w:ascii="Rockwell" w:cs="Rockwell" w:hAnsi="Rockwell" w:eastAsia="Rockwell"/>
        </w:rPr>
      </w:pPr>
      <w:r>
        <w:rPr>
          <w:rFonts w:ascii="Rockwell" w:hAnsi="Rockwell"/>
          <w:outline w:val="0"/>
          <w:color w:val="000000"/>
          <w:u w:color="000000"/>
          <w:rtl w:val="0"/>
          <w:lang w:val="en-US"/>
          <w14:textFill>
            <w14:solidFill>
              <w14:srgbClr w14:val="000000"/>
            </w14:solidFill>
          </w14:textFill>
        </w:rPr>
        <w:t>We welcome proposals that will utilize funds to</w:t>
      </w:r>
      <w:r>
        <w:rPr>
          <w:rFonts w:ascii="Rockwell" w:hAnsi="Rockwell"/>
          <w:rtl w:val="0"/>
          <w:lang w:val="en-US"/>
        </w:rPr>
        <w:t xml:space="preserve"> engage in ministry to and for young adults (ages 18-30) who are present in your community whether they are enrolled in an institution of higher learning or not. Preference will be given to proposals that seek to build, or strengthen, the relationship of a local church (or area churches) with a college campus. Some examples of how grants may be used include: regularly scheduled gatherings; spring break mission trips; weekly Bible studies; coffee breaks and meals during exam periods; and other ways of supporting campus ministries and young adult formation within the Diocese of West Texas.</w:t>
      </w:r>
      <w:r>
        <w:rPr>
          <w:rFonts w:ascii="Rockwell" w:hAnsi="Rockwell"/>
          <w:rtl w:val="0"/>
          <w:lang w:val="en-US"/>
        </w:rPr>
        <w:t xml:space="preserve"> Grants are intended for relational ministries between college and young adults and the respective parishes; rather than employment opportunities for the parish. </w:t>
      </w:r>
    </w:p>
    <w:p>
      <w:pPr>
        <w:pStyle w:val="Default"/>
        <w:spacing w:before="0" w:line="240" w:lineRule="auto"/>
        <w:rPr>
          <w:rFonts w:ascii="Rockwell" w:cs="Rockwell" w:hAnsi="Rockwell" w:eastAsia="Rockwell"/>
        </w:rPr>
      </w:pPr>
    </w:p>
    <w:p>
      <w:pPr>
        <w:pStyle w:val="Default"/>
        <w:spacing w:before="0" w:line="240" w:lineRule="auto"/>
        <w:rPr>
          <w:rFonts w:ascii="Rockwell Bold" w:cs="Rockwell Bold" w:hAnsi="Rockwell Bold" w:eastAsia="Rockwell Bold"/>
          <w:outline w:val="0"/>
          <w:color w:val="000000"/>
          <w:u w:color="000000"/>
          <w14:textFill>
            <w14:solidFill>
              <w14:srgbClr w14:val="000000"/>
            </w14:solidFill>
          </w14:textFill>
        </w:rPr>
      </w:pPr>
      <w:r>
        <w:rPr>
          <w:rFonts w:ascii="Rockwell Bold" w:hAnsi="Rockwell Bold"/>
          <w:outline w:val="0"/>
          <w:color w:val="000000"/>
          <w:u w:color="000000"/>
          <w:rtl w:val="0"/>
          <w:lang w:val="en-US"/>
          <w14:textFill>
            <w14:solidFill>
              <w14:srgbClr w14:val="000000"/>
            </w14:solidFill>
          </w14:textFill>
        </w:rPr>
        <w:t>Applications are accepted and assessed in the order that they are received.</w:t>
      </w:r>
    </w:p>
    <w:p>
      <w:pPr>
        <w:pStyle w:val="Default"/>
        <w:spacing w:before="0" w:line="240" w:lineRule="auto"/>
        <w:rPr>
          <w:rFonts w:ascii="Rockwell" w:cs="Rockwell" w:hAnsi="Rockwell" w:eastAsia="Rockwell"/>
          <w:outline w:val="0"/>
          <w:color w:val="000000"/>
          <w:u w:color="000000"/>
          <w14:textFill>
            <w14:solidFill>
              <w14:srgbClr w14:val="000000"/>
            </w14:solidFill>
          </w14:textFill>
        </w:rPr>
      </w:pPr>
      <w:r>
        <w:rPr>
          <w:rFonts w:ascii="Rockwell" w:hAnsi="Rockwell"/>
          <w:outline w:val="0"/>
          <w:color w:val="000000"/>
          <w:u w:color="000000"/>
          <w:rtl w:val="0"/>
          <w:lang w:val="en-US"/>
          <w14:textFill>
            <w14:solidFill>
              <w14:srgbClr w14:val="000000"/>
            </w14:solidFill>
          </w14:textFill>
        </w:rPr>
        <w:t xml:space="preserve">Grants will be reviewed on the following dates: </w:t>
      </w:r>
    </w:p>
    <w:p>
      <w:pPr>
        <w:pStyle w:val="Default"/>
        <w:spacing w:before="0" w:line="240" w:lineRule="auto"/>
        <w:rPr>
          <w:rFonts w:ascii="Rockwell Bold" w:cs="Rockwell Bold" w:hAnsi="Rockwell Bold" w:eastAsia="Rockwell Bold"/>
          <w:outline w:val="0"/>
          <w:color w:val="000000"/>
          <w:u w:color="000000"/>
          <w14:textFill>
            <w14:solidFill>
              <w14:srgbClr w14:val="000000"/>
            </w14:solidFill>
          </w14:textFill>
        </w:rPr>
      </w:pPr>
      <w:r>
        <w:rPr>
          <w:rFonts w:ascii="Rockwell Bold" w:hAnsi="Rockwell Bold"/>
          <w:outline w:val="0"/>
          <w:color w:val="000000"/>
          <w:u w:color="000000"/>
          <w:rtl w:val="0"/>
          <w:lang w:val="en-US"/>
          <w14:textFill>
            <w14:solidFill>
              <w14:srgbClr w14:val="000000"/>
            </w14:solidFill>
          </w14:textFill>
        </w:rPr>
        <w:t>2/1/23</w:t>
      </w:r>
    </w:p>
    <w:p>
      <w:pPr>
        <w:pStyle w:val="Default"/>
        <w:spacing w:before="0" w:line="240" w:lineRule="auto"/>
        <w:rPr>
          <w:rFonts w:ascii="Rockwell Bold" w:cs="Rockwell Bold" w:hAnsi="Rockwell Bold" w:eastAsia="Rockwell Bold"/>
          <w:outline w:val="0"/>
          <w:color w:val="000000"/>
          <w:u w:color="000000"/>
          <w14:textFill>
            <w14:solidFill>
              <w14:srgbClr w14:val="000000"/>
            </w14:solidFill>
          </w14:textFill>
        </w:rPr>
      </w:pPr>
      <w:r>
        <w:rPr>
          <w:rFonts w:ascii="Rockwell Bold" w:hAnsi="Rockwell Bold"/>
          <w:outline w:val="0"/>
          <w:color w:val="000000"/>
          <w:u w:color="000000"/>
          <w:rtl w:val="0"/>
          <w:lang w:val="en-US"/>
          <w14:textFill>
            <w14:solidFill>
              <w14:srgbClr w14:val="000000"/>
            </w14:solidFill>
          </w14:textFill>
        </w:rPr>
        <w:t>5/17/23</w:t>
      </w:r>
    </w:p>
    <w:p>
      <w:pPr>
        <w:pStyle w:val="Default"/>
        <w:spacing w:before="0" w:line="240" w:lineRule="auto"/>
        <w:rPr>
          <w:rFonts w:ascii="Rockwell Bold" w:cs="Rockwell Bold" w:hAnsi="Rockwell Bold" w:eastAsia="Rockwell Bold"/>
          <w:outline w:val="0"/>
          <w:color w:val="000000"/>
          <w:u w:color="000000"/>
          <w14:textFill>
            <w14:solidFill>
              <w14:srgbClr w14:val="000000"/>
            </w14:solidFill>
          </w14:textFill>
        </w:rPr>
      </w:pPr>
      <w:r>
        <w:rPr>
          <w:rFonts w:ascii="Rockwell Bold" w:hAnsi="Rockwell Bold"/>
          <w:outline w:val="0"/>
          <w:color w:val="000000"/>
          <w:u w:color="000000"/>
          <w:rtl w:val="0"/>
          <w:lang w:val="en-US"/>
          <w14:textFill>
            <w14:solidFill>
              <w14:srgbClr w14:val="000000"/>
            </w14:solidFill>
          </w14:textFill>
        </w:rPr>
        <w:t>8/17/23</w:t>
      </w:r>
    </w:p>
    <w:p>
      <w:pPr>
        <w:pStyle w:val="Default"/>
        <w:spacing w:before="0" w:line="240" w:lineRule="auto"/>
        <w:rPr>
          <w:rFonts w:ascii="Rockwell Italic" w:cs="Rockwell Italic" w:hAnsi="Rockwell Italic" w:eastAsia="Rockwell Italic"/>
          <w:outline w:val="0"/>
          <w:color w:val="000000"/>
          <w:u w:color="000000"/>
          <w14:textFill>
            <w14:solidFill>
              <w14:srgbClr w14:val="000000"/>
            </w14:solidFill>
          </w14:textFill>
        </w:rPr>
      </w:pPr>
      <w:r>
        <w:rPr>
          <w:rFonts w:ascii="Rockwell Italic" w:hAnsi="Rockwell Italic"/>
          <w:outline w:val="0"/>
          <w:color w:val="000000"/>
          <w:u w:color="000000"/>
          <w:rtl w:val="0"/>
          <w:lang w:val="en-US"/>
          <w14:textFill>
            <w14:solidFill>
              <w14:srgbClr w14:val="000000"/>
            </w14:solidFill>
          </w14:textFill>
        </w:rPr>
        <w:t>*Grant applications will be reviewed on the above date following the date of receipt.</w:t>
      </w:r>
    </w:p>
    <w:p>
      <w:pPr>
        <w:pStyle w:val="Default"/>
        <w:spacing w:before="0" w:line="240" w:lineRule="auto"/>
        <w:rPr>
          <w:rFonts w:ascii="Rockwell" w:cs="Rockwell" w:hAnsi="Rockwell" w:eastAsia="Rockwell"/>
          <w:outline w:val="0"/>
          <w:color w:val="000000"/>
          <w:u w:color="000000"/>
          <w14:textFill>
            <w14:solidFill>
              <w14:srgbClr w14:val="000000"/>
            </w14:solidFill>
          </w14:textFill>
        </w:rPr>
      </w:pPr>
      <w:r>
        <w:rPr>
          <w:rFonts w:ascii="Rockwell" w:hAnsi="Rockwell"/>
          <w:rtl w:val="0"/>
          <w:lang w:val="en-US"/>
        </w:rPr>
        <w:t>Grant recipients may reapply as needed, and as grants are available</w:t>
      </w:r>
      <w:r>
        <w:rPr>
          <w:rFonts w:ascii="Rockwell" w:hAnsi="Rockwell"/>
          <w:outline w:val="0"/>
          <w:color w:val="000000"/>
          <w:u w:color="000000"/>
          <w:rtl w:val="0"/>
          <w:lang w:val="en-US"/>
          <w14:textFill>
            <w14:solidFill>
              <w14:srgbClr w14:val="000000"/>
            </w14:solidFill>
          </w14:textFill>
        </w:rPr>
        <w:t>, each year.</w:t>
      </w:r>
    </w:p>
    <w:p>
      <w:pPr>
        <w:pStyle w:val="Default"/>
        <w:spacing w:before="0" w:line="240" w:lineRule="auto"/>
        <w:rPr>
          <w:rFonts w:ascii="Rockwell" w:cs="Rockwell" w:hAnsi="Rockwell" w:eastAsia="Rockwell"/>
        </w:rPr>
      </w:pPr>
    </w:p>
    <w:p>
      <w:pPr>
        <w:pStyle w:val="Default"/>
        <w:spacing w:before="0" w:line="240" w:lineRule="auto"/>
        <w:rPr>
          <w:rFonts w:ascii="Rockwell Bold" w:cs="Rockwell Bold" w:hAnsi="Rockwell Bold" w:eastAsia="Rockwell Bold"/>
        </w:rPr>
      </w:pPr>
      <w:r>
        <w:rPr>
          <w:rFonts w:ascii="Rockwell Bold" w:hAnsi="Rockwell Bold"/>
          <w:rtl w:val="0"/>
          <w:lang w:val="en-US"/>
        </w:rPr>
        <w:t xml:space="preserve">The application should be submitted as follows: </w:t>
      </w:r>
    </w:p>
    <w:p>
      <w:pPr>
        <w:pStyle w:val="Default"/>
        <w:spacing w:before="0" w:line="240" w:lineRule="auto"/>
        <w:rPr>
          <w:rFonts w:ascii="Rockwell" w:cs="Rockwell" w:hAnsi="Rockwell" w:eastAsia="Rockwell"/>
        </w:rPr>
      </w:pPr>
      <w:r>
        <w:rPr>
          <w:rFonts w:ascii="Rockwell" w:hAnsi="Rockwell"/>
          <w:rtl w:val="0"/>
          <w:lang w:val="en-US"/>
        </w:rPr>
        <w:t xml:space="preserve">-Indicate the name of the person and the DWTX church which will be responsible for utilizing the fund. </w:t>
      </w:r>
    </w:p>
    <w:p>
      <w:pPr>
        <w:pStyle w:val="Default"/>
        <w:spacing w:before="0" w:line="240" w:lineRule="auto"/>
        <w:rPr>
          <w:rFonts w:ascii="Rockwell" w:cs="Rockwell" w:hAnsi="Rockwell" w:eastAsia="Rockwell"/>
        </w:rPr>
      </w:pPr>
      <w:r>
        <w:rPr>
          <w:rFonts w:ascii="Rockwell" w:hAnsi="Rockwell"/>
          <w:rtl w:val="0"/>
          <w:lang w:val="en-US"/>
        </w:rPr>
        <w:t xml:space="preserve">-Include a detailed description of the project: What is the need? How will this help draw in or minister to young adults or campus ministries in your area? How will this jumpstart a new initiative for your congregation or expand an existing program? </w:t>
      </w:r>
    </w:p>
    <w:p>
      <w:pPr>
        <w:pStyle w:val="Default"/>
        <w:spacing w:before="0" w:line="240" w:lineRule="auto"/>
        <w:rPr>
          <w:rFonts w:ascii="Rockwell" w:cs="Rockwell" w:hAnsi="Rockwell" w:eastAsia="Rockwell"/>
        </w:rPr>
      </w:pPr>
      <w:r>
        <w:rPr>
          <w:rFonts w:ascii="Rockwell" w:hAnsi="Rockwell"/>
          <w:rtl w:val="0"/>
          <w:lang w:val="en-US"/>
        </w:rPr>
        <w:t xml:space="preserve">-Include a general budget for the use of funds. </w:t>
      </w:r>
    </w:p>
    <w:p>
      <w:pPr>
        <w:pStyle w:val="Default"/>
        <w:spacing w:before="0" w:line="240" w:lineRule="auto"/>
        <w:rPr>
          <w:rFonts w:ascii="Rockwell" w:cs="Rockwell" w:hAnsi="Rockwell" w:eastAsia="Rockwell"/>
        </w:rPr>
      </w:pPr>
      <w:r>
        <w:rPr>
          <w:rFonts w:ascii="Rockwell" w:hAnsi="Rockwell"/>
          <w:rtl w:val="0"/>
          <w:lang w:val="en-US"/>
        </w:rPr>
        <w:t xml:space="preserve">-Indicate a commitment to submit a report at the end of the semester or academic year as to what was done with the grant. Please include a few pictures or videos of the young adult or campus ministry in your parish or college for use in showcasing college ministry in the diocese. </w:t>
      </w:r>
    </w:p>
    <w:p>
      <w:pPr>
        <w:pStyle w:val="Default"/>
        <w:spacing w:before="0" w:line="240" w:lineRule="auto"/>
        <w:rPr>
          <w:rFonts w:ascii="Rockwell" w:cs="Rockwell" w:hAnsi="Rockwell" w:eastAsia="Rockwell"/>
        </w:rPr>
      </w:pPr>
    </w:p>
    <w:p>
      <w:pPr>
        <w:pStyle w:val="Default"/>
        <w:spacing w:before="0" w:line="240" w:lineRule="auto"/>
        <w:rPr>
          <w:rFonts w:ascii="Rockwell Bold" w:cs="Rockwell Bold" w:hAnsi="Rockwell Bold" w:eastAsia="Rockwell Bold"/>
        </w:rPr>
      </w:pPr>
      <w:r>
        <w:rPr>
          <w:rFonts w:ascii="Rockwell Bold" w:hAnsi="Rockwell Bold"/>
          <w:rtl w:val="0"/>
          <w:lang w:val="en-US"/>
        </w:rPr>
        <w:t xml:space="preserve">Electronic submissions may be sent to: </w:t>
      </w:r>
    </w:p>
    <w:p>
      <w:pPr>
        <w:pStyle w:val="Default"/>
        <w:spacing w:before="0" w:line="240" w:lineRule="auto"/>
        <w:rPr>
          <w:rFonts w:ascii="Rockwell" w:cs="Rockwell" w:hAnsi="Rockwell" w:eastAsia="Rockwell"/>
          <w:lang w:val="de-DE"/>
        </w:rPr>
      </w:pPr>
      <w:r>
        <w:rPr>
          <w:rFonts w:ascii="Rockwell" w:hAnsi="Rockwell"/>
          <w:rtl w:val="0"/>
          <w:lang w:val="de-DE"/>
        </w:rPr>
        <w:t xml:space="preserve">The Rev. Kevin Schubert </w:t>
      </w:r>
    </w:p>
    <w:p>
      <w:pPr>
        <w:pStyle w:val="Default"/>
        <w:spacing w:before="0" w:line="240" w:lineRule="auto"/>
        <w:rPr>
          <w:rFonts w:ascii="Rockwell" w:cs="Rockwell" w:hAnsi="Rockwell" w:eastAsia="Rockwell"/>
        </w:rPr>
      </w:pPr>
      <w:r>
        <w:rPr>
          <w:rFonts w:ascii="Rockwell" w:hAnsi="Rockwell"/>
          <w:rtl w:val="0"/>
          <w:lang w:val="en-US"/>
        </w:rPr>
        <w:t xml:space="preserve">Chair, DWTX College Missions Council </w:t>
      </w:r>
    </w:p>
    <w:p>
      <w:pPr>
        <w:pStyle w:val="Default"/>
        <w:spacing w:before="0" w:line="240" w:lineRule="auto"/>
        <w:rPr>
          <w:lang w:val="de-DE"/>
        </w:rPr>
      </w:pPr>
      <w:r>
        <w:rPr>
          <w:rFonts w:ascii="Rockwell" w:hAnsi="Rockwell"/>
          <w:rtl w:val="0"/>
          <w:lang w:val="de-DE"/>
        </w:rPr>
        <w:t>kschubert@ststeve.org</w:t>
      </w:r>
    </w:p>
    <w:p>
      <w:pPr>
        <w:pStyle w:val="Default"/>
        <w:spacing w:before="0" w:line="240" w:lineRule="auto"/>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Bold">
    <w:charset w:val="00"/>
    <w:family w:val="roman"/>
    <w:pitch w:val="default"/>
  </w:font>
  <w:font w:name="Rockwell">
    <w:charset w:val="00"/>
    <w:family w:val="roman"/>
    <w:pitch w:val="default"/>
  </w:font>
  <w:font w:name="Rockwell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