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7" w:rsidRDefault="00063947">
      <w:pPr>
        <w:spacing w:after="0" w:line="240" w:lineRule="auto"/>
        <w:ind w:left="426"/>
        <w:jc w:val="center"/>
        <w:rPr>
          <w:rFonts w:asciiTheme="minorHAnsi" w:hAnsiTheme="minorHAnsi" w:cs="Arial"/>
          <w:b/>
          <w:sz w:val="24"/>
          <w:szCs w:val="24"/>
          <w:lang w:val="es-CO"/>
        </w:rPr>
      </w:pPr>
    </w:p>
    <w:p w:rsidR="00063947" w:rsidRDefault="00063947">
      <w:pPr>
        <w:spacing w:after="0" w:line="240" w:lineRule="auto"/>
        <w:ind w:left="426"/>
        <w:jc w:val="center"/>
        <w:rPr>
          <w:rFonts w:asciiTheme="minorHAnsi" w:hAnsiTheme="minorHAnsi" w:cs="Arial"/>
          <w:b/>
          <w:sz w:val="24"/>
          <w:szCs w:val="24"/>
          <w:lang w:val="es-CO"/>
        </w:rPr>
      </w:pPr>
    </w:p>
    <w:p w:rsidR="00063947" w:rsidRDefault="00964071">
      <w:pPr>
        <w:spacing w:after="0" w:line="240" w:lineRule="auto"/>
        <w:ind w:left="426"/>
        <w:jc w:val="center"/>
        <w:rPr>
          <w:rFonts w:asciiTheme="minorHAnsi" w:hAnsiTheme="minorHAnsi" w:cs="Arial"/>
          <w:b/>
          <w:sz w:val="24"/>
          <w:szCs w:val="24"/>
          <w:lang w:val="es-CO"/>
        </w:rPr>
      </w:pPr>
      <w:r>
        <w:rPr>
          <w:rFonts w:asciiTheme="minorHAnsi" w:hAnsiTheme="minorHAnsi" w:cs="Arial"/>
          <w:b/>
          <w:sz w:val="24"/>
          <w:szCs w:val="24"/>
          <w:lang w:val="es-CO"/>
        </w:rPr>
        <w:t>VIII COLOQUIO DE INFANCIA -  UNIVERSIDAD DISTRITAL FRANCISCO JOSÉ DE CALDAS</w:t>
      </w:r>
    </w:p>
    <w:p w:rsidR="00063947" w:rsidRDefault="00964071">
      <w:pPr>
        <w:spacing w:after="0" w:line="240" w:lineRule="auto"/>
        <w:ind w:left="426"/>
        <w:jc w:val="center"/>
        <w:rPr>
          <w:rFonts w:asciiTheme="minorHAnsi" w:hAnsiTheme="minorHAnsi" w:cs="Arial"/>
          <w:b/>
          <w:sz w:val="24"/>
          <w:szCs w:val="24"/>
          <w:lang w:val="es-CO"/>
        </w:rPr>
      </w:pPr>
      <w:r>
        <w:rPr>
          <w:rFonts w:asciiTheme="minorHAnsi" w:hAnsiTheme="minorHAnsi" w:cs="Arial"/>
          <w:b/>
          <w:sz w:val="24"/>
          <w:szCs w:val="24"/>
          <w:lang w:val="es-CO"/>
        </w:rPr>
        <w:t>FACULTAD DE CIENCIAS Y EDUCACION - MAESTRIA EN INFANCIA Y CULTURA</w:t>
      </w:r>
    </w:p>
    <w:p w:rsidR="00063947" w:rsidRDefault="00063947">
      <w:pPr>
        <w:spacing w:after="0" w:line="240" w:lineRule="auto"/>
        <w:ind w:left="426"/>
        <w:jc w:val="center"/>
        <w:rPr>
          <w:rFonts w:asciiTheme="minorHAnsi" w:hAnsiTheme="minorHAnsi" w:cs="Arial"/>
          <w:sz w:val="24"/>
          <w:szCs w:val="24"/>
          <w:lang w:val="es-CO"/>
        </w:rPr>
      </w:pPr>
    </w:p>
    <w:p w:rsidR="00063947" w:rsidRDefault="00063947">
      <w:pPr>
        <w:spacing w:after="0" w:line="240" w:lineRule="auto"/>
        <w:ind w:left="426"/>
        <w:jc w:val="center"/>
        <w:rPr>
          <w:rFonts w:asciiTheme="minorHAnsi" w:hAnsiTheme="minorHAnsi" w:cs="Arial"/>
          <w:sz w:val="24"/>
          <w:szCs w:val="24"/>
          <w:lang w:val="es-CO"/>
        </w:rPr>
      </w:pPr>
    </w:p>
    <w:p w:rsidR="00964071" w:rsidRDefault="00964071">
      <w:pPr>
        <w:spacing w:after="0" w:line="240" w:lineRule="auto"/>
        <w:ind w:left="426"/>
        <w:jc w:val="right"/>
        <w:rPr>
          <w:rFonts w:asciiTheme="minorHAnsi" w:hAnsiTheme="minorHAnsi" w:cs="Arial"/>
          <w:sz w:val="24"/>
          <w:szCs w:val="24"/>
          <w:lang w:val="es-CO"/>
        </w:rPr>
      </w:pPr>
      <w:r>
        <w:rPr>
          <w:rFonts w:asciiTheme="minorHAnsi" w:hAnsiTheme="minorHAnsi" w:cs="Arial"/>
          <w:sz w:val="24"/>
          <w:szCs w:val="24"/>
          <w:lang w:val="es-CO"/>
        </w:rPr>
        <w:t>Johan Milena Herrera Pardo – Código: 20192123020 (1er Semestre)</w:t>
      </w:r>
      <w:bookmarkStart w:id="0" w:name="_GoBack"/>
      <w:bookmarkEnd w:id="0"/>
    </w:p>
    <w:p w:rsidR="00964071" w:rsidRDefault="00964071">
      <w:pPr>
        <w:spacing w:after="0" w:line="240" w:lineRule="auto"/>
        <w:ind w:left="426"/>
        <w:jc w:val="right"/>
        <w:rPr>
          <w:rFonts w:asciiTheme="minorHAnsi" w:hAnsiTheme="minorHAnsi" w:cs="Arial"/>
          <w:sz w:val="24"/>
          <w:szCs w:val="24"/>
          <w:lang w:val="es-CO"/>
        </w:rPr>
      </w:pPr>
      <w:r w:rsidRPr="00964071">
        <w:rPr>
          <w:rFonts w:asciiTheme="minorHAnsi" w:hAnsiTheme="minorHAnsi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684520" cy="4410640"/>
            <wp:effectExtent l="0" t="0" r="0" b="9525"/>
            <wp:docPr id="1" name="Imagen 1" descr="D:\Users\unesco2\Downloads\inCollage_20191207_101114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nesco2\Downloads\inCollage_20191207_101114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4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47" w:rsidRDefault="00063947">
      <w:pPr>
        <w:spacing w:after="0" w:line="240" w:lineRule="auto"/>
        <w:ind w:left="426"/>
        <w:jc w:val="right"/>
        <w:rPr>
          <w:rFonts w:asciiTheme="minorHAnsi" w:hAnsiTheme="minorHAnsi" w:cs="Arial"/>
          <w:sz w:val="24"/>
          <w:szCs w:val="24"/>
          <w:lang w:val="es-CO"/>
        </w:rPr>
      </w:pPr>
    </w:p>
    <w:p w:rsidR="00063947" w:rsidRDefault="009640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Seleccionar uno de los temas de las mesas de trabajo del Coloquio: </w:t>
      </w:r>
      <w:r>
        <w:rPr>
          <w:rStyle w:val="Textoennegrita"/>
          <w:rFonts w:asciiTheme="minorHAnsi" w:hAnsiTheme="minorHAnsi" w:cs="Helvetica"/>
          <w:color w:val="373737"/>
          <w:sz w:val="24"/>
          <w:szCs w:val="24"/>
          <w:bdr w:val="nil"/>
          <w:shd w:val="clear" w:color="000000" w:fill="FFFFFF"/>
          <w:lang w:val="es-CO"/>
        </w:rPr>
        <w:t xml:space="preserve">Mesa No.1 </w:t>
      </w:r>
      <w:r>
        <w:rPr>
          <w:rFonts w:asciiTheme="minorHAnsi" w:hAnsiTheme="minorHAnsi"/>
          <w:sz w:val="24"/>
          <w:szCs w:val="24"/>
          <w:lang w:val="es-CO"/>
        </w:rPr>
        <w:t>-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Historia, imaginarios y representaciones sobre Infancia. 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sz w:val="24"/>
          <w:szCs w:val="24"/>
          <w:lang w:val="es-CO"/>
        </w:rPr>
      </w:pPr>
    </w:p>
    <w:p w:rsidR="00063947" w:rsidRDefault="0096407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Helvetica"/>
          <w:color w:val="373737"/>
          <w:sz w:val="24"/>
          <w:szCs w:val="24"/>
          <w:bdr w:val="nil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Elegir una experiencia de su vida personal y/o profesional relacionada con el tema de la mesa que eligió.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bdr w:val="nil"/>
          <w:shd w:val="clear" w:color="000000" w:fill="FFFFFF"/>
          <w:lang w:val="es-CO"/>
        </w:rPr>
      </w:pPr>
    </w:p>
    <w:p w:rsidR="00063947" w:rsidRDefault="00964071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En la mesa historia, imaginarios y representaciones sobre infancia la profesora Natalia Pinilla socializó su investigación a través de la presentacion denominada: </w:t>
      </w:r>
      <w:r>
        <w:rPr>
          <w:rFonts w:asciiTheme="minorHAnsi" w:hAnsiTheme="minorHAnsi" w:cs="Helvetica"/>
          <w:i/>
          <w:color w:val="373737"/>
          <w:sz w:val="24"/>
          <w:szCs w:val="24"/>
          <w:shd w:val="clear" w:color="000000" w:fill="FFFFFF"/>
          <w:lang w:val="es-CO"/>
        </w:rPr>
        <w:t>imaginarios en torno a los roles de género, una mirada en restrospectiva.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  Este tema 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lastRenderedPageBreak/>
        <w:t xml:space="preserve">siempre 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me genera mucho interés e impacto porque como docente de primaria en el área de educación física de un colegio público, puedo ver de forma repetitiva y sistemática la presencia de estereotipos que se han instaurado por distintos mecanismos desde institucio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nes como la familia, la escuela y la misma sociedad, condicionando la forma de ser y hacer de niños y niñas desde muy pequeños. 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</w:p>
    <w:p w:rsidR="00063947" w:rsidRDefault="00964071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En una de mis clases pude indagar y hablar con niños (as) de primer grado en torno a las preguntas ¿Qué es ser un niño? y ¿Qué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 es ser una niña? y aparecen de forma inmediata asociaciones de color azul, deporte, fuerza, carros, estilo de ropa particulares y anulación de sentimientos para el caso de ser niño. En el otro lado entonces vemos como aparecen concepciones sobre el modo d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e ser niña que para ellos y ellas en su gran mayoría era jugar con muñecas, color rosado, usar vestidos, usar maquillaje, bolsos, tacones y hacer oficios en el hogar. 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</w:p>
    <w:p w:rsidR="00063947" w:rsidRDefault="00964071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Este tipo de imaginarios que se instauran desde muy pequeños en los niños y niñas dan o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rigen a creencias sobre las formas “adecuadas” de habitar un cuerpo desde lo masculino y lo femenino y del “deber actuar” en el contexto que les rodea, dando lugar a limitaciones en el querer ser tanto de un sexo como del otro y abriendo espacios para que 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haya violencia a la diferencia de pensamiento y de vivencia cuando no se está dentro de una norma socialmente impuesta.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</w:p>
    <w:p w:rsidR="00063947" w:rsidRDefault="00964071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Desde el lenguaje esta violencia se manifiesta cuando niños, niñas y adultos verbalizan un imaginario que se ha instaurado opinando arb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itrariamente sobre otro. Es así que encontramos expresiones bastantes comunes en la idiosincrasia de nuestra sociedad como lo son marimacha, machorra, afeminado o marica, como palabras que no se dicen al azar sino que están asociadas a partir de un estereo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tipo negado a determinado género como en el caso de las niñas el jugar futbol, o en el de los niños llorar. 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</w:p>
    <w:p w:rsidR="00063947" w:rsidRDefault="00964071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De esta manera quise crear una imagen con un niño y una niña partiendo de estas creencias de las cuales he podido ser testiga y que inclusive me s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ubjetivan a mí misma como mujer desde muy pequeña conformando mi modo de ser y de ver las cosas, aun cuando trato de ser consciente y crítica al respecto. 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</w:p>
    <w:p w:rsidR="00063947" w:rsidRDefault="00964071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</w:pP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En mi imago - relato aparece en primer lugar como fondo el color que identifica culturalmente a cad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a género. Luego se aprecia la silueta “típica” de un niño o de una niña en las que alrededor confluyen una serie de imágenes que hablan sobre las normas que de forma naturalizada y constante se imponen en las maneras de ser y de hacer por parte de mujeres 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y hombres. Por último, a modo de reflexión aparece 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lastRenderedPageBreak/>
        <w:t xml:space="preserve">la frase </w:t>
      </w:r>
      <w:r>
        <w:rPr>
          <w:rFonts w:asciiTheme="minorHAnsi" w:hAnsiTheme="minorHAnsi" w:cs="Helvetica"/>
          <w:i/>
          <w:color w:val="373737"/>
          <w:sz w:val="24"/>
          <w:szCs w:val="24"/>
          <w:shd w:val="clear" w:color="000000" w:fill="FFFFFF"/>
          <w:lang w:val="es-CO"/>
        </w:rPr>
        <w:t xml:space="preserve">“Sin juicios. Déjame ser” 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>porque con no bastar el condicionamiento de los cuales somos testigos que hemos sometido a niños y niñas culturalmente, también en ocasiones son objeto de nuestros pre-co</w:t>
      </w:r>
      <w:r>
        <w:rPr>
          <w:rFonts w:asciiTheme="minorHAnsi" w:hAnsiTheme="minorHAnsi" w:cs="Helvetica"/>
          <w:color w:val="373737"/>
          <w:sz w:val="24"/>
          <w:szCs w:val="24"/>
          <w:shd w:val="clear" w:color="000000" w:fill="FFFFFF"/>
          <w:lang w:val="es-CO"/>
        </w:rPr>
        <w:t xml:space="preserve">nceptos cuando emitimos apreciaciones y opiniones ligeras de ellos y ellas sobre los comportamientos asociados a estereotipos de género en los que como docentes nos podemos convertir en gran parte del problema. </w:t>
      </w: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bdr w:val="nil"/>
          <w:shd w:val="clear" w:color="000000" w:fill="FFFFFF"/>
          <w:lang w:val="es-CO"/>
        </w:rPr>
      </w:pPr>
    </w:p>
    <w:p w:rsidR="00063947" w:rsidRDefault="00063947">
      <w:pPr>
        <w:pStyle w:val="Prrafodelista"/>
        <w:ind w:left="780"/>
        <w:jc w:val="both"/>
        <w:rPr>
          <w:rFonts w:asciiTheme="minorHAnsi" w:hAnsiTheme="minorHAnsi" w:cs="Helvetica"/>
          <w:color w:val="373737"/>
          <w:sz w:val="24"/>
          <w:szCs w:val="24"/>
          <w:bdr w:val="nil"/>
          <w:shd w:val="clear" w:color="000000" w:fill="FFFFFF"/>
          <w:lang w:val="es-CO"/>
        </w:rPr>
      </w:pPr>
    </w:p>
    <w:p w:rsidR="00063947" w:rsidRDefault="00063947">
      <w:pPr>
        <w:jc w:val="both"/>
        <w:rPr>
          <w:rFonts w:asciiTheme="minorHAnsi" w:hAnsiTheme="minorHAnsi" w:cs="Helvetica"/>
          <w:color w:val="373737"/>
          <w:sz w:val="24"/>
          <w:szCs w:val="24"/>
          <w:bdr w:val="nil"/>
          <w:shd w:val="clear" w:color="000000" w:fill="FFFFFF"/>
          <w:lang w:val="es-CO"/>
        </w:rPr>
      </w:pPr>
    </w:p>
    <w:sectPr w:rsidR="00063947">
      <w:pgSz w:w="12240" w:h="15840" w:code="1"/>
      <w:pgMar w:top="1701" w:right="1644" w:bottom="1701" w:left="164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359D0F01"/>
    <w:lvl w:ilvl="0" w:tplc="3CC81088">
      <w:start w:val="1"/>
      <w:numFmt w:val="decimal"/>
      <w:lvlText w:val="%1."/>
      <w:lvlJc w:val="left"/>
      <w:pPr>
        <w:ind w:left="780" w:hanging="360"/>
      </w:pPr>
    </w:lvl>
    <w:lvl w:ilvl="1" w:tplc="7708D6FE">
      <w:start w:val="1"/>
      <w:numFmt w:val="lowerLetter"/>
      <w:lvlText w:val="%2."/>
      <w:lvlJc w:val="left"/>
      <w:pPr>
        <w:ind w:left="1500" w:hanging="360"/>
      </w:pPr>
    </w:lvl>
    <w:lvl w:ilvl="2" w:tplc="67326F62">
      <w:start w:val="1"/>
      <w:numFmt w:val="lowerRoman"/>
      <w:lvlText w:val="%3."/>
      <w:lvlJc w:val="right"/>
      <w:pPr>
        <w:ind w:left="2220" w:hanging="180"/>
      </w:pPr>
    </w:lvl>
    <w:lvl w:ilvl="3" w:tplc="77B60CA4">
      <w:start w:val="1"/>
      <w:numFmt w:val="decimal"/>
      <w:lvlText w:val="%4."/>
      <w:lvlJc w:val="left"/>
      <w:pPr>
        <w:ind w:left="2940" w:hanging="360"/>
      </w:pPr>
    </w:lvl>
    <w:lvl w:ilvl="4" w:tplc="32429466">
      <w:start w:val="1"/>
      <w:numFmt w:val="lowerLetter"/>
      <w:lvlText w:val="%5."/>
      <w:lvlJc w:val="left"/>
      <w:pPr>
        <w:ind w:left="3660" w:hanging="360"/>
      </w:pPr>
    </w:lvl>
    <w:lvl w:ilvl="5" w:tplc="A9128FCC">
      <w:start w:val="1"/>
      <w:numFmt w:val="lowerRoman"/>
      <w:lvlText w:val="%6."/>
      <w:lvlJc w:val="right"/>
      <w:pPr>
        <w:ind w:left="4380" w:hanging="180"/>
      </w:pPr>
    </w:lvl>
    <w:lvl w:ilvl="6" w:tplc="EC5C0A74">
      <w:start w:val="1"/>
      <w:numFmt w:val="decimal"/>
      <w:lvlText w:val="%7."/>
      <w:lvlJc w:val="left"/>
      <w:pPr>
        <w:ind w:left="5100" w:hanging="360"/>
      </w:pPr>
    </w:lvl>
    <w:lvl w:ilvl="7" w:tplc="5EBCD9D4">
      <w:start w:val="1"/>
      <w:numFmt w:val="lowerLetter"/>
      <w:lvlText w:val="%8."/>
      <w:lvlJc w:val="left"/>
      <w:pPr>
        <w:ind w:left="5820" w:hanging="360"/>
      </w:pPr>
    </w:lvl>
    <w:lvl w:ilvl="8" w:tplc="28DE37DA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47"/>
    <w:rsid w:val="00063947"/>
    <w:rsid w:val="009640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9E6533"/>
  <w15:docId w15:val="{2903D600-299A-4883-9280-BA690BB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18"/>
    <w:qFormat/>
    <w:rPr>
      <w:i/>
    </w:rPr>
  </w:style>
  <w:style w:type="character" w:styleId="Textoennegrita">
    <w:name w:val="Strong"/>
    <w:basedOn w:val="Fuentedeprrafopredeter"/>
    <w:uiPriority w:val="20"/>
    <w:qFormat/>
    <w:rPr>
      <w:b/>
    </w:rPr>
  </w:style>
  <w:style w:type="paragraph" w:styleId="Prrafodelista">
    <w:name w:val="List Paragraph"/>
    <w:basedOn w:val="Normal"/>
    <w:uiPriority w:val="26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3168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cortes paez</dc:creator>
  <cp:lastModifiedBy>Microsoft</cp:lastModifiedBy>
  <cp:revision>2</cp:revision>
  <dcterms:created xsi:type="dcterms:W3CDTF">2019-12-09T17:48:00Z</dcterms:created>
  <dcterms:modified xsi:type="dcterms:W3CDTF">2019-12-09T17:48:00Z</dcterms:modified>
</cp:coreProperties>
</file>