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88" w:rsidRPr="004F7228" w:rsidRDefault="00131688" w:rsidP="00131688">
      <w:pPr>
        <w:rPr>
          <w:b/>
          <w:sz w:val="40"/>
          <w:szCs w:val="40"/>
        </w:rPr>
      </w:pPr>
      <w:r w:rsidRPr="009D0D57">
        <w:rPr>
          <w:noProof/>
          <w:lang w:eastAsia="en-GB"/>
        </w:rPr>
        <w:drawing>
          <wp:inline distT="0" distB="0" distL="0" distR="0" wp14:anchorId="4D2E6F02" wp14:editId="09658DE0">
            <wp:extent cx="552450" cy="518244"/>
            <wp:effectExtent l="0" t="0" r="0" b="0"/>
            <wp:docPr id="1" name="Picture 0" descr="Highfield Keys Bitmap Image red gre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Keys Bitmap Image red green.bmp"/>
                    <pic:cNvPicPr/>
                  </pic:nvPicPr>
                  <pic:blipFill>
                    <a:blip r:embed="rId5" cstate="print"/>
                    <a:stretch>
                      <a:fillRect/>
                    </a:stretch>
                  </pic:blipFill>
                  <pic:spPr>
                    <a:xfrm>
                      <a:off x="0" y="0"/>
                      <a:ext cx="555311" cy="520928"/>
                    </a:xfrm>
                    <a:prstGeom prst="rect">
                      <a:avLst/>
                    </a:prstGeom>
                  </pic:spPr>
                </pic:pic>
              </a:graphicData>
            </a:graphic>
          </wp:inline>
        </w:drawing>
      </w:r>
      <w:r>
        <w:rPr>
          <w:b/>
          <w:sz w:val="40"/>
          <w:szCs w:val="40"/>
        </w:rPr>
        <w:tab/>
      </w:r>
      <w:r w:rsidR="00B735F0">
        <w:rPr>
          <w:b/>
          <w:sz w:val="40"/>
          <w:szCs w:val="40"/>
        </w:rPr>
        <w:t xml:space="preserve">Structure of </w:t>
      </w:r>
      <w:proofErr w:type="spellStart"/>
      <w:r w:rsidR="00B735F0">
        <w:rPr>
          <w:b/>
          <w:sz w:val="40"/>
          <w:szCs w:val="40"/>
        </w:rPr>
        <w:t>a</w:t>
      </w:r>
      <w:proofErr w:type="spellEnd"/>
      <w:r w:rsidR="00B735F0">
        <w:rPr>
          <w:b/>
          <w:sz w:val="40"/>
          <w:szCs w:val="40"/>
        </w:rPr>
        <w:t xml:space="preserve"> P4C</w:t>
      </w:r>
      <w:bookmarkStart w:id="0" w:name="_GoBack"/>
      <w:bookmarkEnd w:id="0"/>
      <w:r w:rsidRPr="004F7228">
        <w:rPr>
          <w:b/>
          <w:sz w:val="40"/>
          <w:szCs w:val="40"/>
        </w:rPr>
        <w:t xml:space="preserve"> enquiry</w:t>
      </w:r>
    </w:p>
    <w:tbl>
      <w:tblPr>
        <w:tblStyle w:val="TableGrid"/>
        <w:tblW w:w="0" w:type="auto"/>
        <w:tblLook w:val="04A0" w:firstRow="1" w:lastRow="0" w:firstColumn="1" w:lastColumn="0" w:noHBand="0" w:noVBand="1"/>
      </w:tblPr>
      <w:tblGrid>
        <w:gridCol w:w="2943"/>
        <w:gridCol w:w="6299"/>
      </w:tblGrid>
      <w:tr w:rsidR="00131688" w:rsidTr="00CD61E4">
        <w:tc>
          <w:tcPr>
            <w:tcW w:w="2943" w:type="dxa"/>
          </w:tcPr>
          <w:p w:rsidR="00131688" w:rsidRPr="005A73CD" w:rsidRDefault="00131688" w:rsidP="00CD61E4">
            <w:pPr>
              <w:rPr>
                <w:sz w:val="36"/>
                <w:szCs w:val="36"/>
              </w:rPr>
            </w:pPr>
            <w:r>
              <w:rPr>
                <w:sz w:val="36"/>
                <w:szCs w:val="36"/>
              </w:rPr>
              <w:t>Getting s</w:t>
            </w:r>
            <w:r w:rsidRPr="005A73CD">
              <w:rPr>
                <w:sz w:val="36"/>
                <w:szCs w:val="36"/>
              </w:rPr>
              <w:t>et</w:t>
            </w:r>
          </w:p>
        </w:tc>
        <w:tc>
          <w:tcPr>
            <w:tcW w:w="6299" w:type="dxa"/>
          </w:tcPr>
          <w:p w:rsidR="00131688" w:rsidRPr="004F7228" w:rsidRDefault="00131688" w:rsidP="00CD61E4">
            <w:pPr>
              <w:rPr>
                <w:sz w:val="24"/>
                <w:szCs w:val="24"/>
              </w:rPr>
            </w:pPr>
            <w:r w:rsidRPr="004F7228">
              <w:rPr>
                <w:sz w:val="24"/>
                <w:szCs w:val="24"/>
              </w:rPr>
              <w:t>Often a game. “Thinking Games” by Robert Fisher is a good resource for this, but any short activity that engages and focuses pupils can be used. For example warm up activities used in Circle Time may be appropriate</w:t>
            </w:r>
          </w:p>
        </w:tc>
      </w:tr>
      <w:tr w:rsidR="00131688" w:rsidTr="00CD61E4">
        <w:tc>
          <w:tcPr>
            <w:tcW w:w="2943" w:type="dxa"/>
          </w:tcPr>
          <w:p w:rsidR="00131688" w:rsidRPr="005A73CD" w:rsidRDefault="00131688" w:rsidP="00CD61E4">
            <w:pPr>
              <w:rPr>
                <w:sz w:val="36"/>
                <w:szCs w:val="36"/>
              </w:rPr>
            </w:pPr>
            <w:r>
              <w:rPr>
                <w:sz w:val="36"/>
                <w:szCs w:val="36"/>
              </w:rPr>
              <w:t>Presentation of s</w:t>
            </w:r>
            <w:r w:rsidRPr="005A73CD">
              <w:rPr>
                <w:sz w:val="36"/>
                <w:szCs w:val="36"/>
              </w:rPr>
              <w:t>timulus</w:t>
            </w:r>
          </w:p>
        </w:tc>
        <w:tc>
          <w:tcPr>
            <w:tcW w:w="6299" w:type="dxa"/>
          </w:tcPr>
          <w:p w:rsidR="00131688" w:rsidRPr="004F7228" w:rsidRDefault="00131688" w:rsidP="00CD61E4">
            <w:pPr>
              <w:rPr>
                <w:sz w:val="24"/>
                <w:szCs w:val="24"/>
              </w:rPr>
            </w:pPr>
            <w:r w:rsidRPr="004F7228">
              <w:rPr>
                <w:sz w:val="24"/>
                <w:szCs w:val="24"/>
              </w:rPr>
              <w:t>Something that contains “big” ideas and concepts. In the early stages of developing a philosophical class, anything that engages the children can be used, but as pupils become more confident, links to the curriculum can be very fruitful.</w:t>
            </w:r>
          </w:p>
        </w:tc>
      </w:tr>
      <w:tr w:rsidR="00131688" w:rsidTr="00CD61E4">
        <w:tc>
          <w:tcPr>
            <w:tcW w:w="2943" w:type="dxa"/>
          </w:tcPr>
          <w:p w:rsidR="00131688" w:rsidRPr="005A73CD" w:rsidRDefault="00131688" w:rsidP="00CD61E4">
            <w:pPr>
              <w:rPr>
                <w:sz w:val="36"/>
                <w:szCs w:val="36"/>
              </w:rPr>
            </w:pPr>
            <w:r w:rsidRPr="005A73CD">
              <w:rPr>
                <w:sz w:val="36"/>
                <w:szCs w:val="36"/>
              </w:rPr>
              <w:t>Thinking Time</w:t>
            </w:r>
          </w:p>
        </w:tc>
        <w:tc>
          <w:tcPr>
            <w:tcW w:w="6299" w:type="dxa"/>
          </w:tcPr>
          <w:p w:rsidR="00131688" w:rsidRPr="004F7228" w:rsidRDefault="00131688" w:rsidP="00CD61E4">
            <w:pPr>
              <w:rPr>
                <w:sz w:val="24"/>
                <w:szCs w:val="24"/>
              </w:rPr>
            </w:pPr>
            <w:r w:rsidRPr="004F7228">
              <w:rPr>
                <w:sz w:val="24"/>
                <w:szCs w:val="24"/>
              </w:rPr>
              <w:t>Quite simply time for private reflection on the stimulus. Silent thought can be challenging and may need to be modelled and developed over time. Think-pair –share is often used to develop it, or even plenary conversation.</w:t>
            </w:r>
          </w:p>
        </w:tc>
      </w:tr>
      <w:tr w:rsidR="00131688" w:rsidTr="00CD61E4">
        <w:tc>
          <w:tcPr>
            <w:tcW w:w="2943" w:type="dxa"/>
          </w:tcPr>
          <w:p w:rsidR="00131688" w:rsidRPr="005A73CD" w:rsidRDefault="00131688" w:rsidP="00CD61E4">
            <w:pPr>
              <w:rPr>
                <w:sz w:val="36"/>
                <w:szCs w:val="36"/>
              </w:rPr>
            </w:pPr>
            <w:r>
              <w:rPr>
                <w:sz w:val="36"/>
                <w:szCs w:val="36"/>
              </w:rPr>
              <w:t>Question making</w:t>
            </w:r>
          </w:p>
        </w:tc>
        <w:tc>
          <w:tcPr>
            <w:tcW w:w="6299" w:type="dxa"/>
          </w:tcPr>
          <w:p w:rsidR="00131688" w:rsidRPr="004F7228" w:rsidRDefault="00131688" w:rsidP="00CD61E4">
            <w:pPr>
              <w:rPr>
                <w:sz w:val="24"/>
                <w:szCs w:val="24"/>
              </w:rPr>
            </w:pPr>
            <w:r w:rsidRPr="004F7228">
              <w:rPr>
                <w:sz w:val="24"/>
                <w:szCs w:val="24"/>
              </w:rPr>
              <w:t>Groups of 3-5 children share their thoughts on the stimulus and any issues or problems it raises. They turn these into an open/discussible question to put forward to the class.</w:t>
            </w:r>
          </w:p>
        </w:tc>
      </w:tr>
      <w:tr w:rsidR="00131688" w:rsidTr="00CD61E4">
        <w:tc>
          <w:tcPr>
            <w:tcW w:w="2943" w:type="dxa"/>
          </w:tcPr>
          <w:p w:rsidR="00131688" w:rsidRPr="005A73CD" w:rsidRDefault="00131688" w:rsidP="00CD61E4">
            <w:pPr>
              <w:rPr>
                <w:sz w:val="36"/>
                <w:szCs w:val="36"/>
              </w:rPr>
            </w:pPr>
            <w:r>
              <w:rPr>
                <w:sz w:val="36"/>
                <w:szCs w:val="36"/>
              </w:rPr>
              <w:t>Questions airing</w:t>
            </w:r>
          </w:p>
        </w:tc>
        <w:tc>
          <w:tcPr>
            <w:tcW w:w="6299" w:type="dxa"/>
          </w:tcPr>
          <w:p w:rsidR="00131688" w:rsidRPr="004F7228" w:rsidRDefault="00131688" w:rsidP="00CD61E4">
            <w:pPr>
              <w:rPr>
                <w:sz w:val="24"/>
                <w:szCs w:val="24"/>
              </w:rPr>
            </w:pPr>
            <w:r w:rsidRPr="004F7228">
              <w:rPr>
                <w:sz w:val="24"/>
                <w:szCs w:val="24"/>
              </w:rPr>
              <w:t xml:space="preserve">Questions are prominently </w:t>
            </w:r>
            <w:proofErr w:type="gramStart"/>
            <w:r w:rsidRPr="004F7228">
              <w:rPr>
                <w:sz w:val="24"/>
                <w:szCs w:val="24"/>
              </w:rPr>
              <w:t>displayed ,</w:t>
            </w:r>
            <w:proofErr w:type="gramEnd"/>
            <w:r w:rsidRPr="004F7228">
              <w:rPr>
                <w:sz w:val="24"/>
                <w:szCs w:val="24"/>
              </w:rPr>
              <w:t xml:space="preserve"> celebrated and discussed. Ambiguities or vagueness are discussed and cleared up and links often suggested and explored.</w:t>
            </w:r>
          </w:p>
        </w:tc>
      </w:tr>
      <w:tr w:rsidR="00131688" w:rsidTr="00CD61E4">
        <w:tc>
          <w:tcPr>
            <w:tcW w:w="2943" w:type="dxa"/>
          </w:tcPr>
          <w:p w:rsidR="00131688" w:rsidRPr="005A73CD" w:rsidRDefault="00131688" w:rsidP="00CD61E4">
            <w:pPr>
              <w:rPr>
                <w:sz w:val="36"/>
                <w:szCs w:val="36"/>
              </w:rPr>
            </w:pPr>
            <w:r>
              <w:rPr>
                <w:sz w:val="36"/>
                <w:szCs w:val="36"/>
              </w:rPr>
              <w:t>Question choosing</w:t>
            </w:r>
          </w:p>
        </w:tc>
        <w:tc>
          <w:tcPr>
            <w:tcW w:w="6299" w:type="dxa"/>
          </w:tcPr>
          <w:p w:rsidR="00131688" w:rsidRPr="004F7228" w:rsidRDefault="00131688" w:rsidP="00CD61E4">
            <w:pPr>
              <w:rPr>
                <w:sz w:val="24"/>
                <w:szCs w:val="24"/>
              </w:rPr>
            </w:pPr>
            <w:proofErr w:type="spellStart"/>
            <w:r w:rsidRPr="004F7228">
              <w:rPr>
                <w:sz w:val="24"/>
                <w:szCs w:val="24"/>
              </w:rPr>
              <w:t>Omnivote</w:t>
            </w:r>
            <w:proofErr w:type="spellEnd"/>
            <w:r w:rsidRPr="004F7228">
              <w:rPr>
                <w:sz w:val="24"/>
                <w:szCs w:val="24"/>
              </w:rPr>
              <w:t xml:space="preserve"> </w:t>
            </w:r>
            <w:proofErr w:type="gramStart"/>
            <w:r w:rsidRPr="004F7228">
              <w:rPr>
                <w:sz w:val="24"/>
                <w:szCs w:val="24"/>
              </w:rPr>
              <w:t>( all</w:t>
            </w:r>
            <w:proofErr w:type="gramEnd"/>
            <w:r w:rsidRPr="004F7228">
              <w:rPr>
                <w:sz w:val="24"/>
                <w:szCs w:val="24"/>
              </w:rPr>
              <w:t xml:space="preserve">) or </w:t>
            </w:r>
            <w:proofErr w:type="spellStart"/>
            <w:r w:rsidRPr="004F7228">
              <w:rPr>
                <w:sz w:val="24"/>
                <w:szCs w:val="24"/>
              </w:rPr>
              <w:t>multivote</w:t>
            </w:r>
            <w:proofErr w:type="spellEnd"/>
            <w:r w:rsidRPr="004F7228">
              <w:rPr>
                <w:sz w:val="24"/>
                <w:szCs w:val="24"/>
              </w:rPr>
              <w:t xml:space="preserve"> ( more than one) enable pupils to choose questions other than their own. Other creative systems can be used for example voting with counters or with feet. Blind voting eliminates peer influence.</w:t>
            </w:r>
          </w:p>
        </w:tc>
      </w:tr>
      <w:tr w:rsidR="00131688" w:rsidTr="00CD61E4">
        <w:tc>
          <w:tcPr>
            <w:tcW w:w="2943" w:type="dxa"/>
          </w:tcPr>
          <w:p w:rsidR="00131688" w:rsidRPr="005A73CD" w:rsidRDefault="00131688" w:rsidP="00CD61E4">
            <w:pPr>
              <w:rPr>
                <w:sz w:val="36"/>
                <w:szCs w:val="36"/>
              </w:rPr>
            </w:pPr>
            <w:r>
              <w:rPr>
                <w:sz w:val="36"/>
                <w:szCs w:val="36"/>
              </w:rPr>
              <w:t>First thoughts</w:t>
            </w:r>
          </w:p>
        </w:tc>
        <w:tc>
          <w:tcPr>
            <w:tcW w:w="6299" w:type="dxa"/>
          </w:tcPr>
          <w:p w:rsidR="00131688" w:rsidRPr="004F7228" w:rsidRDefault="00131688" w:rsidP="00CD61E4">
            <w:pPr>
              <w:rPr>
                <w:sz w:val="24"/>
                <w:szCs w:val="24"/>
              </w:rPr>
            </w:pPr>
            <w:r w:rsidRPr="004F7228">
              <w:rPr>
                <w:sz w:val="24"/>
                <w:szCs w:val="24"/>
              </w:rPr>
              <w:t>Often the group whose question is voted for explain how they arrived at it and their thoughts on it but think-pair-share can be a good started too. Over time more critical responses can be encouraged for example write to reply.</w:t>
            </w:r>
          </w:p>
        </w:tc>
      </w:tr>
      <w:tr w:rsidR="00131688" w:rsidTr="00CD61E4">
        <w:tc>
          <w:tcPr>
            <w:tcW w:w="2943" w:type="dxa"/>
          </w:tcPr>
          <w:p w:rsidR="00131688" w:rsidRPr="005A73CD" w:rsidRDefault="00131688" w:rsidP="00CD61E4">
            <w:pPr>
              <w:rPr>
                <w:sz w:val="36"/>
                <w:szCs w:val="36"/>
              </w:rPr>
            </w:pPr>
            <w:r>
              <w:rPr>
                <w:sz w:val="36"/>
                <w:szCs w:val="36"/>
              </w:rPr>
              <w:t>Building</w:t>
            </w:r>
          </w:p>
        </w:tc>
        <w:tc>
          <w:tcPr>
            <w:tcW w:w="6299" w:type="dxa"/>
          </w:tcPr>
          <w:p w:rsidR="00131688" w:rsidRPr="004F7228" w:rsidRDefault="00131688" w:rsidP="00CD61E4">
            <w:pPr>
              <w:rPr>
                <w:sz w:val="24"/>
                <w:szCs w:val="24"/>
              </w:rPr>
            </w:pPr>
            <w:r w:rsidRPr="004F7228">
              <w:rPr>
                <w:sz w:val="24"/>
                <w:szCs w:val="24"/>
              </w:rPr>
              <w:t xml:space="preserve">The question / dialogue </w:t>
            </w:r>
            <w:proofErr w:type="gramStart"/>
            <w:r w:rsidRPr="004F7228">
              <w:rPr>
                <w:sz w:val="24"/>
                <w:szCs w:val="24"/>
              </w:rPr>
              <w:t>is</w:t>
            </w:r>
            <w:proofErr w:type="gramEnd"/>
            <w:r w:rsidRPr="004F7228">
              <w:rPr>
                <w:sz w:val="24"/>
                <w:szCs w:val="24"/>
              </w:rPr>
              <w:t xml:space="preserve"> opened to the class, with encouragement to building towards a better understanding of the issues/ concepts arising. Facilitator takes opportunities to clarify and to challenge pupils’ thinking, and encourages constructive agreement or disagreement. </w:t>
            </w:r>
          </w:p>
        </w:tc>
      </w:tr>
      <w:tr w:rsidR="00131688" w:rsidTr="00CD61E4">
        <w:tc>
          <w:tcPr>
            <w:tcW w:w="2943" w:type="dxa"/>
          </w:tcPr>
          <w:p w:rsidR="00131688" w:rsidRPr="005A73CD" w:rsidRDefault="00131688" w:rsidP="00CD61E4">
            <w:pPr>
              <w:rPr>
                <w:sz w:val="36"/>
                <w:szCs w:val="36"/>
              </w:rPr>
            </w:pPr>
            <w:r>
              <w:rPr>
                <w:sz w:val="36"/>
                <w:szCs w:val="36"/>
              </w:rPr>
              <w:t>Last thoughts</w:t>
            </w:r>
          </w:p>
        </w:tc>
        <w:tc>
          <w:tcPr>
            <w:tcW w:w="6299" w:type="dxa"/>
          </w:tcPr>
          <w:p w:rsidR="00131688" w:rsidRPr="004F7228" w:rsidRDefault="00131688" w:rsidP="00CD61E4">
            <w:pPr>
              <w:rPr>
                <w:sz w:val="24"/>
                <w:szCs w:val="24"/>
              </w:rPr>
            </w:pPr>
            <w:r w:rsidRPr="004F7228">
              <w:rPr>
                <w:sz w:val="24"/>
                <w:szCs w:val="24"/>
              </w:rPr>
              <w:t>A chance for pupils to say their final words on what has been discussed, uncontested. Often those who have not contributed during the session do so here and show that they have been engaged. Different foci may be suggested.</w:t>
            </w:r>
          </w:p>
        </w:tc>
      </w:tr>
      <w:tr w:rsidR="00131688" w:rsidTr="00CD61E4">
        <w:tc>
          <w:tcPr>
            <w:tcW w:w="2943" w:type="dxa"/>
          </w:tcPr>
          <w:p w:rsidR="00131688" w:rsidRPr="005A73CD" w:rsidRDefault="00131688" w:rsidP="00CD61E4">
            <w:pPr>
              <w:rPr>
                <w:sz w:val="36"/>
                <w:szCs w:val="36"/>
              </w:rPr>
            </w:pPr>
            <w:r>
              <w:rPr>
                <w:sz w:val="36"/>
                <w:szCs w:val="36"/>
              </w:rPr>
              <w:t>Review</w:t>
            </w:r>
          </w:p>
        </w:tc>
        <w:tc>
          <w:tcPr>
            <w:tcW w:w="6299" w:type="dxa"/>
          </w:tcPr>
          <w:p w:rsidR="00131688" w:rsidRPr="004F7228" w:rsidRDefault="00131688" w:rsidP="00CD61E4">
            <w:pPr>
              <w:rPr>
                <w:sz w:val="24"/>
                <w:szCs w:val="24"/>
              </w:rPr>
            </w:pPr>
            <w:r w:rsidRPr="004F7228">
              <w:rPr>
                <w:sz w:val="24"/>
                <w:szCs w:val="24"/>
              </w:rPr>
              <w:t xml:space="preserve">Basically </w:t>
            </w:r>
            <w:hyperlink r:id="rId6" w:history="1">
              <w:r w:rsidRPr="004F7228">
                <w:rPr>
                  <w:rStyle w:val="Hyperlink"/>
                  <w:sz w:val="24"/>
                  <w:szCs w:val="24"/>
                </w:rPr>
                <w:t>www.ebi</w:t>
              </w:r>
            </w:hyperlink>
            <w:r w:rsidRPr="004F7228">
              <w:rPr>
                <w:sz w:val="24"/>
                <w:szCs w:val="24"/>
              </w:rPr>
              <w:t xml:space="preserve"> </w:t>
            </w:r>
            <w:proofErr w:type="gramStart"/>
            <w:r w:rsidRPr="004F7228">
              <w:rPr>
                <w:sz w:val="24"/>
                <w:szCs w:val="24"/>
              </w:rPr>
              <w:t>( What</w:t>
            </w:r>
            <w:proofErr w:type="gramEnd"/>
            <w:r w:rsidRPr="004F7228">
              <w:rPr>
                <w:sz w:val="24"/>
                <w:szCs w:val="24"/>
              </w:rPr>
              <w:t xml:space="preserve"> went well; even better if) . Best done after a short break </w:t>
            </w:r>
            <w:proofErr w:type="gramStart"/>
            <w:r w:rsidRPr="004F7228">
              <w:rPr>
                <w:sz w:val="24"/>
                <w:szCs w:val="24"/>
              </w:rPr>
              <w:t>( or</w:t>
            </w:r>
            <w:proofErr w:type="gramEnd"/>
            <w:r w:rsidRPr="004F7228">
              <w:rPr>
                <w:sz w:val="24"/>
                <w:szCs w:val="24"/>
              </w:rPr>
              <w:t xml:space="preserve"> at end of day),leading to planning for skills development and further enquiry ( across the curriculum as well as into concepts.</w:t>
            </w:r>
          </w:p>
        </w:tc>
      </w:tr>
    </w:tbl>
    <w:p w:rsidR="009571EA" w:rsidRDefault="009571EA"/>
    <w:sectPr w:rsidR="00957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88"/>
    <w:rsid w:val="00131688"/>
    <w:rsid w:val="009571EA"/>
    <w:rsid w:val="00B7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1688"/>
    <w:rPr>
      <w:color w:val="0000FF" w:themeColor="hyperlink"/>
      <w:u w:val="single"/>
    </w:rPr>
  </w:style>
  <w:style w:type="paragraph" w:styleId="BalloonText">
    <w:name w:val="Balloon Text"/>
    <w:basedOn w:val="Normal"/>
    <w:link w:val="BalloonTextChar"/>
    <w:uiPriority w:val="99"/>
    <w:semiHidden/>
    <w:unhideWhenUsed/>
    <w:rsid w:val="0013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1688"/>
    <w:rPr>
      <w:color w:val="0000FF" w:themeColor="hyperlink"/>
      <w:u w:val="single"/>
    </w:rPr>
  </w:style>
  <w:style w:type="paragraph" w:styleId="BalloonText">
    <w:name w:val="Balloon Text"/>
    <w:basedOn w:val="Normal"/>
    <w:link w:val="BalloonTextChar"/>
    <w:uiPriority w:val="99"/>
    <w:semiHidden/>
    <w:unhideWhenUsed/>
    <w:rsid w:val="0013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b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Highfield and Brookham Schools</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Gardiner</dc:creator>
  <cp:lastModifiedBy>Diane Gardiner</cp:lastModifiedBy>
  <cp:revision>2</cp:revision>
  <dcterms:created xsi:type="dcterms:W3CDTF">2012-11-30T17:15:00Z</dcterms:created>
  <dcterms:modified xsi:type="dcterms:W3CDTF">2013-01-06T11:50:00Z</dcterms:modified>
</cp:coreProperties>
</file>